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D1A8C" w14:textId="77777777" w:rsidR="001B0C51" w:rsidRDefault="001B0C51">
      <w:pPr>
        <w:widowControl w:val="0"/>
        <w:pBdr>
          <w:top w:val="nil"/>
          <w:left w:val="nil"/>
          <w:bottom w:val="nil"/>
          <w:right w:val="nil"/>
          <w:between w:val="nil"/>
        </w:pBdr>
        <w:bidi/>
        <w:spacing w:before="240" w:after="240" w:line="276" w:lineRule="auto"/>
        <w:jc w:val="center"/>
        <w:rPr>
          <w:color w:val="000000"/>
          <w:sz w:val="12"/>
          <w:szCs w:val="12"/>
        </w:rPr>
      </w:pPr>
    </w:p>
    <w:p w14:paraId="74602D5F" w14:textId="77777777" w:rsidR="001B0C51" w:rsidRDefault="001B0C51">
      <w:pPr>
        <w:widowControl w:val="0"/>
        <w:pBdr>
          <w:top w:val="nil"/>
          <w:left w:val="nil"/>
          <w:bottom w:val="nil"/>
          <w:right w:val="nil"/>
          <w:between w:val="nil"/>
        </w:pBdr>
        <w:bidi/>
        <w:spacing w:before="240" w:after="240" w:line="276" w:lineRule="auto"/>
        <w:jc w:val="center"/>
        <w:rPr>
          <w:color w:val="000000"/>
          <w:sz w:val="40"/>
          <w:szCs w:val="40"/>
        </w:rPr>
      </w:pPr>
    </w:p>
    <w:p w14:paraId="28B97E6A" w14:textId="77777777" w:rsidR="001B0C51" w:rsidRDefault="001B0C51">
      <w:pPr>
        <w:widowControl w:val="0"/>
        <w:pBdr>
          <w:top w:val="nil"/>
          <w:left w:val="nil"/>
          <w:bottom w:val="nil"/>
          <w:right w:val="nil"/>
          <w:between w:val="nil"/>
        </w:pBdr>
        <w:bidi/>
        <w:spacing w:before="240" w:after="240" w:line="276" w:lineRule="auto"/>
        <w:jc w:val="center"/>
        <w:rPr>
          <w:color w:val="000000"/>
          <w:sz w:val="40"/>
          <w:szCs w:val="40"/>
        </w:rPr>
      </w:pPr>
    </w:p>
    <w:p w14:paraId="6F337E73" w14:textId="77777777" w:rsidR="001B0C51" w:rsidRDefault="001B0C51">
      <w:pPr>
        <w:widowControl w:val="0"/>
        <w:pBdr>
          <w:top w:val="nil"/>
          <w:left w:val="nil"/>
          <w:bottom w:val="nil"/>
          <w:right w:val="nil"/>
          <w:between w:val="nil"/>
        </w:pBdr>
        <w:bidi/>
        <w:spacing w:before="240" w:after="240" w:line="276" w:lineRule="auto"/>
        <w:jc w:val="center"/>
        <w:rPr>
          <w:color w:val="000000"/>
          <w:sz w:val="40"/>
          <w:szCs w:val="40"/>
        </w:rPr>
      </w:pPr>
    </w:p>
    <w:p w14:paraId="2586E8BB" w14:textId="77777777" w:rsidR="001B0C51" w:rsidRDefault="001B0C51">
      <w:pPr>
        <w:widowControl w:val="0"/>
        <w:pBdr>
          <w:top w:val="nil"/>
          <w:left w:val="nil"/>
          <w:bottom w:val="nil"/>
          <w:right w:val="nil"/>
          <w:between w:val="nil"/>
        </w:pBdr>
        <w:bidi/>
        <w:spacing w:before="240" w:after="240" w:line="276" w:lineRule="auto"/>
        <w:jc w:val="center"/>
        <w:rPr>
          <w:color w:val="000000"/>
          <w:sz w:val="40"/>
          <w:szCs w:val="40"/>
        </w:rPr>
      </w:pPr>
    </w:p>
    <w:p w14:paraId="439B1797" w14:textId="77777777" w:rsidR="001B0C51" w:rsidRDefault="001B0C51">
      <w:pPr>
        <w:widowControl w:val="0"/>
        <w:pBdr>
          <w:top w:val="nil"/>
          <w:left w:val="nil"/>
          <w:bottom w:val="nil"/>
          <w:right w:val="nil"/>
          <w:between w:val="nil"/>
        </w:pBdr>
        <w:bidi/>
        <w:spacing w:before="240" w:after="240" w:line="276" w:lineRule="auto"/>
        <w:jc w:val="center"/>
        <w:rPr>
          <w:color w:val="000000"/>
          <w:sz w:val="40"/>
          <w:szCs w:val="40"/>
        </w:rPr>
      </w:pPr>
    </w:p>
    <w:p w14:paraId="2FE4C48A" w14:textId="77777777" w:rsidR="001B0C51" w:rsidRDefault="001B0C51">
      <w:pPr>
        <w:widowControl w:val="0"/>
        <w:pBdr>
          <w:top w:val="nil"/>
          <w:left w:val="nil"/>
          <w:bottom w:val="nil"/>
          <w:right w:val="nil"/>
          <w:between w:val="nil"/>
        </w:pBdr>
        <w:bidi/>
        <w:spacing w:before="240" w:after="240" w:line="276" w:lineRule="auto"/>
        <w:jc w:val="center"/>
        <w:rPr>
          <w:color w:val="000000"/>
          <w:sz w:val="40"/>
          <w:szCs w:val="40"/>
        </w:rPr>
      </w:pPr>
    </w:p>
    <w:p w14:paraId="76549CF3" w14:textId="77777777" w:rsidR="001B0C51" w:rsidRDefault="00000000">
      <w:pPr>
        <w:widowControl w:val="0"/>
        <w:pBdr>
          <w:top w:val="nil"/>
          <w:left w:val="nil"/>
          <w:bottom w:val="nil"/>
          <w:right w:val="nil"/>
          <w:between w:val="nil"/>
        </w:pBdr>
        <w:bidi/>
        <w:spacing w:before="240" w:after="240" w:line="276" w:lineRule="auto"/>
        <w:jc w:val="center"/>
        <w:rPr>
          <w:color w:val="000000"/>
          <w:sz w:val="40"/>
          <w:szCs w:val="40"/>
        </w:rPr>
      </w:pPr>
      <w:r>
        <w:rPr>
          <w:b/>
          <w:bCs/>
          <w:color w:val="000000"/>
          <w:sz w:val="40"/>
          <w:szCs w:val="40"/>
          <w:rtl/>
        </w:rPr>
        <w:t>سياسة الاشتباه بعمليات غسل الأموال وجرائم تمويل الإرهاب</w:t>
      </w:r>
    </w:p>
    <w:p w14:paraId="271606AC"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130AB9A5"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1D80BB85"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6EA6A937"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0AB6A343"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1BA1F39F"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2F0BC9AB"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724473B8"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47184870"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099FCE6D"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52BEE7FD"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5B50B71A" w14:textId="77777777" w:rsidR="001B0C51" w:rsidRDefault="00000000">
      <w:pPr>
        <w:widowControl w:val="0"/>
        <w:pBdr>
          <w:top w:val="nil"/>
          <w:left w:val="nil"/>
          <w:bottom w:val="nil"/>
          <w:right w:val="nil"/>
          <w:between w:val="nil"/>
        </w:pBdr>
        <w:bidi/>
        <w:spacing w:before="240" w:after="240" w:line="276" w:lineRule="auto"/>
        <w:jc w:val="both"/>
        <w:rPr>
          <w:color w:val="000000"/>
          <w:sz w:val="28"/>
          <w:szCs w:val="28"/>
        </w:rPr>
      </w:pPr>
      <w:r>
        <w:rPr>
          <w:b/>
          <w:bCs/>
          <w:color w:val="000000"/>
          <w:sz w:val="28"/>
          <w:szCs w:val="28"/>
          <w:rtl/>
        </w:rPr>
        <w:lastRenderedPageBreak/>
        <w:t>مقدمة</w:t>
      </w:r>
    </w:p>
    <w:p w14:paraId="428D3A96" w14:textId="77777777" w:rsidR="001B0C51" w:rsidRDefault="00000000">
      <w:pPr>
        <w:widowControl w:val="0"/>
        <w:pBdr>
          <w:top w:val="nil"/>
          <w:left w:val="nil"/>
          <w:bottom w:val="nil"/>
          <w:right w:val="nil"/>
          <w:between w:val="nil"/>
        </w:pBdr>
        <w:bidi/>
        <w:spacing w:before="240" w:after="240"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تعد سياسة مؤشرات الاشتباه بعمليات غسل الأموال وجرائم تمويل الإرهاب أحد الركائز الأساسية التي اتخذتها الجمعية في مجال الرقابة المالية وفقاً لنظام مكافحة غسل الأموال السعودي الصادر بالمرسوم الملكي رقم م/31 بتاريخ 11/5/1433هـ، ولائحته التنفيذية وجميع التعديلات اللاحقة ليتوافق مع هذه السياسة.</w:t>
      </w:r>
      <w:r>
        <w:rPr>
          <w:rFonts w:ascii="Cambria" w:eastAsia="Cambria" w:hAnsi="Cambria" w:cs="Cambria"/>
          <w:color w:val="000000"/>
          <w:sz w:val="28"/>
          <w:szCs w:val="28"/>
        </w:rPr>
        <w:t> </w:t>
      </w:r>
    </w:p>
    <w:p w14:paraId="3F0D53AD" w14:textId="77777777" w:rsidR="001B0C51" w:rsidRDefault="00000000">
      <w:pPr>
        <w:widowControl w:val="0"/>
        <w:pBdr>
          <w:top w:val="nil"/>
          <w:left w:val="nil"/>
          <w:bottom w:val="nil"/>
          <w:right w:val="nil"/>
          <w:between w:val="nil"/>
        </w:pBdr>
        <w:bidi/>
        <w:spacing w:before="240" w:after="240" w:line="276" w:lineRule="auto"/>
        <w:jc w:val="both"/>
        <w:rPr>
          <w:color w:val="000000"/>
          <w:sz w:val="28"/>
          <w:szCs w:val="28"/>
        </w:rPr>
      </w:pPr>
      <w:r>
        <w:rPr>
          <w:b/>
          <w:bCs/>
          <w:color w:val="000000"/>
          <w:sz w:val="28"/>
          <w:szCs w:val="28"/>
          <w:rtl/>
        </w:rPr>
        <w:t>النطاق</w:t>
      </w:r>
    </w:p>
    <w:p w14:paraId="7D4FDCC0" w14:textId="77777777" w:rsidR="001B0C51" w:rsidRDefault="00000000">
      <w:pPr>
        <w:widowControl w:val="0"/>
        <w:pBdr>
          <w:top w:val="nil"/>
          <w:left w:val="nil"/>
          <w:bottom w:val="nil"/>
          <w:right w:val="nil"/>
          <w:between w:val="nil"/>
        </w:pBdr>
        <w:bidi/>
        <w:spacing w:before="240" w:after="240"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تحدد هذه السياسة المسؤوليات العامة على كافة العاملين ومن لهم علاقات تعاقدية وتطوعية في الجمعية.</w:t>
      </w:r>
    </w:p>
    <w:p w14:paraId="7BD4A7D5" w14:textId="77777777" w:rsidR="001B0C51" w:rsidRDefault="00000000">
      <w:pPr>
        <w:widowControl w:val="0"/>
        <w:pBdr>
          <w:top w:val="nil"/>
          <w:left w:val="nil"/>
          <w:bottom w:val="nil"/>
          <w:right w:val="nil"/>
          <w:between w:val="nil"/>
        </w:pBdr>
        <w:bidi/>
        <w:spacing w:before="240" w:after="240" w:line="276" w:lineRule="auto"/>
        <w:jc w:val="both"/>
        <w:rPr>
          <w:color w:val="000000"/>
          <w:sz w:val="28"/>
          <w:szCs w:val="28"/>
        </w:rPr>
      </w:pPr>
      <w:r>
        <w:rPr>
          <w:b/>
          <w:bCs/>
          <w:color w:val="000000"/>
          <w:sz w:val="28"/>
          <w:szCs w:val="28"/>
          <w:rtl/>
        </w:rPr>
        <w:t>البيان</w:t>
      </w:r>
    </w:p>
    <w:p w14:paraId="2837A0C6" w14:textId="77777777" w:rsidR="001B0C51" w:rsidRDefault="00000000">
      <w:pPr>
        <w:widowControl w:val="0"/>
        <w:pBdr>
          <w:top w:val="nil"/>
          <w:left w:val="nil"/>
          <w:bottom w:val="nil"/>
          <w:right w:val="nil"/>
          <w:between w:val="nil"/>
        </w:pBdr>
        <w:bidi/>
        <w:spacing w:before="240" w:after="240" w:line="276" w:lineRule="auto"/>
        <w:jc w:val="both"/>
        <w:rPr>
          <w:color w:val="000000"/>
          <w:sz w:val="28"/>
          <w:szCs w:val="28"/>
        </w:rPr>
      </w:pPr>
      <w:r>
        <w:rPr>
          <w:b/>
          <w:bCs/>
          <w:color w:val="000000"/>
          <w:sz w:val="28"/>
          <w:szCs w:val="28"/>
          <w:rtl/>
        </w:rPr>
        <w:t>قائمة المؤشرات الدالة على وجود شبهة عمليات غسل الأموال أو جرائم تمويل الإرهاب:</w:t>
      </w:r>
    </w:p>
    <w:p w14:paraId="791F9249" w14:textId="77777777" w:rsidR="001B0C51" w:rsidRDefault="00000000">
      <w:pPr>
        <w:widowControl w:val="0"/>
        <w:numPr>
          <w:ilvl w:val="0"/>
          <w:numId w:val="1"/>
        </w:numPr>
        <w:pBdr>
          <w:top w:val="nil"/>
          <w:left w:val="nil"/>
          <w:bottom w:val="nil"/>
          <w:right w:val="nil"/>
          <w:between w:val="nil"/>
        </w:pBdr>
        <w:bidi/>
        <w:spacing w:before="240"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إبداء العميل اهتماماً غير عادي بشأن عدم الالتزام لمتطلبات مكافحة غسل الأموال أو جرائم تمويل الإرهاب، وبخاصة المتعلقة بهويته ونوع عمله.</w:t>
      </w:r>
    </w:p>
    <w:p w14:paraId="4B3BE9DD"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رفض العميل تقديم بيانات عنه أو توضيح مصدر أمواله وأصوله الأخرى.</w:t>
      </w:r>
    </w:p>
    <w:p w14:paraId="54879A20"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رغبة العميل في المشاركة في صفقات غير واضحة من حيث غرضها القانوني أو الاقتصادي أو عدم انسجامها مع استراتيجية الاستثمار المعلنة.</w:t>
      </w:r>
    </w:p>
    <w:p w14:paraId="7130AB78"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محاولة العميل تزويد الجمعية بمعلومات غير صحيحة أو مضللة تتعلق بهويته و/أو مصدر أمواله.</w:t>
      </w:r>
    </w:p>
    <w:p w14:paraId="732EFF5F"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 xml:space="preserve">علم الجمعية بتورط العميل في أنشطة غسل </w:t>
      </w:r>
      <w:proofErr w:type="gramStart"/>
      <w:r>
        <w:rPr>
          <w:rFonts w:ascii="Lotus Linotype" w:eastAsia="Lotus Linotype" w:hAnsi="Lotus Linotype" w:cs="Lotus Linotype"/>
          <w:color w:val="000000"/>
          <w:sz w:val="28"/>
          <w:szCs w:val="28"/>
          <w:rtl/>
        </w:rPr>
        <w:t>أموال</w:t>
      </w:r>
      <w:proofErr w:type="gramEnd"/>
      <w:r>
        <w:rPr>
          <w:rFonts w:ascii="Lotus Linotype" w:eastAsia="Lotus Linotype" w:hAnsi="Lotus Linotype" w:cs="Lotus Linotype"/>
          <w:color w:val="000000"/>
          <w:sz w:val="28"/>
          <w:szCs w:val="28"/>
          <w:rtl/>
        </w:rPr>
        <w:t xml:space="preserve"> أو جرائم تمويل إرهاب، أو أي مخالفات جنائية أو تنظيمية.</w:t>
      </w:r>
    </w:p>
    <w:p w14:paraId="6D07C530"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إبداء العميل عدم الاهتمام بالمخاطر والعمولات أو أي مصاريف أخرى.</w:t>
      </w:r>
    </w:p>
    <w:p w14:paraId="5E24AF02"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 xml:space="preserve">اشتباه الجمعية في أن العميل وكيل للعمل نيابة عن موكل مجهول، وتردده وامتناعه بدون أسباب منطقية، في إعطاء معلومات عن ذلك الشخص أو الجهة. </w:t>
      </w:r>
    </w:p>
    <w:p w14:paraId="405AC135"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صعوبة تقديم العميل وصف لطبيعة عمله أو عدم معرفته بأنشطته بشكل عام.</w:t>
      </w:r>
    </w:p>
    <w:p w14:paraId="74B2F427" w14:textId="77777777" w:rsidR="001B0C51" w:rsidRDefault="00000000">
      <w:pPr>
        <w:widowControl w:val="0"/>
        <w:numPr>
          <w:ilvl w:val="0"/>
          <w:numId w:val="1"/>
        </w:numPr>
        <w:pBdr>
          <w:top w:val="nil"/>
          <w:left w:val="nil"/>
          <w:bottom w:val="nil"/>
          <w:right w:val="nil"/>
          <w:between w:val="nil"/>
        </w:pBdr>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قيام العميل باستثمار طويل الأجل يتبعه بعد مدة وجيزة طلب تصفية الوضع الاستثماري وتحويل العائد من الحساب.</w:t>
      </w:r>
    </w:p>
    <w:p w14:paraId="104D7D93"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وجود اختلاف كبير بين أنشطة العميل والممارسات العادية.</w:t>
      </w:r>
    </w:p>
    <w:p w14:paraId="07D71831"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طلب العميل من الجمعية تحويل الأموال المستحقة له لطرف آخر ومحاولة عدم تزويد الجمعية بأي معلومات عن الجهة والمحول إليها.</w:t>
      </w:r>
    </w:p>
    <w:p w14:paraId="61C7D495"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محاولة العميل تغيير صفقة أو إلغاءها بعد تبليغه بمتطلبات تدقيق المعلومات أو حفظ السجلات من الجمعية.</w:t>
      </w:r>
    </w:p>
    <w:p w14:paraId="4A334E97"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طلب العميل إنهاء إجراءات صفقة يستخدم فيها أقل قدر ممكن من المستندات.</w:t>
      </w:r>
    </w:p>
    <w:p w14:paraId="2D5AD75D"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علم الجمعية أن الأموال أو الممتلكات إيراد من مصادر غير مشروعة.</w:t>
      </w:r>
    </w:p>
    <w:p w14:paraId="1E9B2DDC"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lastRenderedPageBreak/>
        <w:t>عدم تناسب قيمة أو تكرار التبرعات والعمليات مع المعلومات المتوفرة عن المشتبه به ونشاطه ودخله ونمط حياته وسلوكه.</w:t>
      </w:r>
    </w:p>
    <w:p w14:paraId="423B2478" w14:textId="77777777" w:rsidR="001B0C51" w:rsidRDefault="00000000">
      <w:pPr>
        <w:widowControl w:val="0"/>
        <w:numPr>
          <w:ilvl w:val="0"/>
          <w:numId w:val="1"/>
        </w:numPr>
        <w:pBdr>
          <w:top w:val="nil"/>
          <w:left w:val="nil"/>
          <w:bottom w:val="nil"/>
          <w:right w:val="nil"/>
          <w:between w:val="nil"/>
        </w:pBdr>
        <w:tabs>
          <w:tab w:val="left" w:pos="881"/>
        </w:tabs>
        <w:bidi/>
        <w:spacing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انتماء العميل لمنظمة غير معروفة أو معروفة بنشاط محظور.</w:t>
      </w:r>
    </w:p>
    <w:p w14:paraId="71F2D75F" w14:textId="77777777" w:rsidR="001B0C51" w:rsidRDefault="00000000">
      <w:pPr>
        <w:widowControl w:val="0"/>
        <w:numPr>
          <w:ilvl w:val="0"/>
          <w:numId w:val="1"/>
        </w:numPr>
        <w:pBdr>
          <w:top w:val="nil"/>
          <w:left w:val="nil"/>
          <w:bottom w:val="nil"/>
          <w:right w:val="nil"/>
          <w:between w:val="nil"/>
        </w:pBdr>
        <w:tabs>
          <w:tab w:val="left" w:pos="881"/>
        </w:tabs>
        <w:bidi/>
        <w:spacing w:after="240"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ظهور علامات البذخ والرفاهية على العميل وعائلته بشكل مبالغ فيه وبما لا يتناسب مع وضعه الاقتصادي (خاصة إذا كان بشكل مفاجئ).</w:t>
      </w:r>
    </w:p>
    <w:p w14:paraId="0C3D582B"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286C1874" w14:textId="77777777" w:rsidR="001B0C51" w:rsidRDefault="00000000">
      <w:pPr>
        <w:widowControl w:val="0"/>
        <w:pBdr>
          <w:top w:val="nil"/>
          <w:left w:val="nil"/>
          <w:bottom w:val="nil"/>
          <w:right w:val="nil"/>
          <w:between w:val="nil"/>
        </w:pBdr>
        <w:bidi/>
        <w:spacing w:before="240" w:after="240" w:line="276" w:lineRule="auto"/>
        <w:jc w:val="both"/>
        <w:rPr>
          <w:color w:val="000000"/>
          <w:sz w:val="28"/>
          <w:szCs w:val="28"/>
        </w:rPr>
      </w:pPr>
      <w:r>
        <w:rPr>
          <w:b/>
          <w:bCs/>
          <w:color w:val="000000"/>
          <w:sz w:val="28"/>
          <w:szCs w:val="28"/>
          <w:rtl/>
        </w:rPr>
        <w:t>المسؤوليات</w:t>
      </w:r>
    </w:p>
    <w:p w14:paraId="55F2E1C5" w14:textId="77777777" w:rsidR="001B0C51" w:rsidRDefault="00000000">
      <w:pPr>
        <w:widowControl w:val="0"/>
        <w:pBdr>
          <w:top w:val="nil"/>
          <w:left w:val="nil"/>
          <w:bottom w:val="nil"/>
          <w:right w:val="nil"/>
          <w:between w:val="nil"/>
        </w:pBdr>
        <w:bidi/>
        <w:spacing w:before="240" w:after="240"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تطبق هذه السياسة ضمن أنشطة الجمعية وعلى جميع العاملين الذين يعملون تحت إدارة واشراف الجمعية الاطلاع على الأنظمة المتعلقة بمكافحة غسل الأموال وعلى هذه السياسة والإلمام بها والتوقيع عليها، والالتزام بما ورد فيها من أحكام عند أداء واجباتهم ومسؤولياتهم الوظيفية. وعلى الإدارة المالية نشر الوعي في ذلك الخصوص وتزويد جميع الإدارات والأقسام بنسخة منها.</w:t>
      </w:r>
    </w:p>
    <w:p w14:paraId="61CC3548" w14:textId="77777777" w:rsidR="001B0C51" w:rsidRDefault="00000000">
      <w:pPr>
        <w:widowControl w:val="0"/>
        <w:pBdr>
          <w:top w:val="nil"/>
          <w:left w:val="nil"/>
          <w:bottom w:val="nil"/>
          <w:right w:val="nil"/>
          <w:between w:val="nil"/>
        </w:pBdr>
        <w:bidi/>
        <w:spacing w:before="240" w:after="240" w:line="276" w:lineRule="auto"/>
        <w:jc w:val="both"/>
        <w:rPr>
          <w:rFonts w:ascii="Lotus Linotype" w:eastAsia="Lotus Linotype" w:hAnsi="Lotus Linotype" w:cs="Lotus Linotype"/>
          <w:color w:val="000000"/>
          <w:sz w:val="28"/>
          <w:szCs w:val="28"/>
        </w:rPr>
      </w:pPr>
      <w:r>
        <w:rPr>
          <w:rFonts w:ascii="Lotus Linotype" w:eastAsia="Lotus Linotype" w:hAnsi="Lotus Linotype" w:cs="Lotus Linotype"/>
          <w:color w:val="000000"/>
          <w:sz w:val="28"/>
          <w:szCs w:val="28"/>
          <w:rtl/>
        </w:rPr>
        <w:t xml:space="preserve">وتحرص الجمعية حال التعاقد مع متعاونين على التأكد من إتباعهم والتزامهم بقواعد مكافحة غسل الأموال </w:t>
      </w:r>
      <w:proofErr w:type="gramStart"/>
      <w:r>
        <w:rPr>
          <w:rFonts w:ascii="Lotus Linotype" w:eastAsia="Lotus Linotype" w:hAnsi="Lotus Linotype" w:cs="Lotus Linotype"/>
          <w:color w:val="000000"/>
          <w:sz w:val="28"/>
          <w:szCs w:val="28"/>
          <w:rtl/>
        </w:rPr>
        <w:t>و جرائم</w:t>
      </w:r>
      <w:proofErr w:type="gramEnd"/>
      <w:r>
        <w:rPr>
          <w:rFonts w:ascii="Lotus Linotype" w:eastAsia="Lotus Linotype" w:hAnsi="Lotus Linotype" w:cs="Lotus Linotype"/>
          <w:color w:val="000000"/>
          <w:sz w:val="28"/>
          <w:szCs w:val="28"/>
          <w:rtl/>
        </w:rPr>
        <w:t xml:space="preserve"> تمويل الإرهاب.</w:t>
      </w:r>
    </w:p>
    <w:p w14:paraId="7224E884" w14:textId="77777777" w:rsidR="001B0C51" w:rsidRDefault="001B0C51">
      <w:pPr>
        <w:widowControl w:val="0"/>
        <w:pBdr>
          <w:top w:val="nil"/>
          <w:left w:val="nil"/>
          <w:bottom w:val="nil"/>
          <w:right w:val="nil"/>
          <w:between w:val="nil"/>
        </w:pBdr>
        <w:bidi/>
        <w:spacing w:before="240" w:after="240" w:line="276" w:lineRule="auto"/>
        <w:jc w:val="both"/>
        <w:rPr>
          <w:color w:val="000000"/>
          <w:sz w:val="28"/>
          <w:szCs w:val="28"/>
        </w:rPr>
      </w:pPr>
    </w:p>
    <w:p w14:paraId="55C3D01D" w14:textId="7FC36358" w:rsidR="001B0C51" w:rsidRDefault="00000000" w:rsidP="006C52FA">
      <w:pPr>
        <w:widowControl w:val="0"/>
        <w:pBdr>
          <w:top w:val="nil"/>
          <w:left w:val="nil"/>
          <w:bottom w:val="nil"/>
          <w:right w:val="nil"/>
          <w:between w:val="nil"/>
        </w:pBdr>
        <w:bidi/>
        <w:spacing w:before="240" w:after="240" w:line="276" w:lineRule="auto"/>
        <w:jc w:val="center"/>
        <w:rPr>
          <w:color w:val="000000"/>
          <w:sz w:val="28"/>
          <w:szCs w:val="28"/>
        </w:rPr>
      </w:pPr>
      <w:r>
        <w:rPr>
          <w:b/>
          <w:bCs/>
          <w:color w:val="000000"/>
          <w:sz w:val="28"/>
          <w:szCs w:val="28"/>
          <w:rtl/>
        </w:rPr>
        <w:t>الاعتماد</w:t>
      </w:r>
      <w:r w:rsidR="006C52FA">
        <w:rPr>
          <w:rFonts w:hint="cs"/>
          <w:color w:val="000000"/>
          <w:sz w:val="28"/>
          <w:szCs w:val="28"/>
          <w:rtl/>
        </w:rPr>
        <w:t>....................................</w:t>
      </w:r>
    </w:p>
    <w:sectPr w:rsidR="001B0C51">
      <w:headerReference w:type="even" r:id="rId7"/>
      <w:headerReference w:type="default" r:id="rId8"/>
      <w:headerReference w:type="first" r:id="rId9"/>
      <w:pgSz w:w="11906" w:h="16838"/>
      <w:pgMar w:top="1985" w:right="1274" w:bottom="1440"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C20FE" w14:textId="77777777" w:rsidR="004D2E6D" w:rsidRDefault="004D2E6D">
      <w:r>
        <w:separator/>
      </w:r>
    </w:p>
  </w:endnote>
  <w:endnote w:type="continuationSeparator" w:id="0">
    <w:p w14:paraId="377EDE50" w14:textId="77777777" w:rsidR="004D2E6D" w:rsidRDefault="004D2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0467BE-A063-4A20-A78F-3CF703C59BF5}"/>
    <w:embedBold r:id="rId2" w:fontKey="{500CCA3B-7A4B-47F8-8FB6-D6062CCB7655}"/>
  </w:font>
  <w:font w:name="Georgia">
    <w:panose1 w:val="02040502050405020303"/>
    <w:charset w:val="00"/>
    <w:family w:val="roman"/>
    <w:pitch w:val="variable"/>
    <w:sig w:usb0="00000287" w:usb1="00000000" w:usb2="00000000" w:usb3="00000000" w:csb0="0000009F" w:csb1="00000000"/>
    <w:embedItalic r:id="rId3" w:fontKey="{FB82EFC1-C2E1-4C64-BDE2-4E5817676EFD}"/>
  </w:font>
  <w:font w:name="Lotus Linotype">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F0BEC852-2AB5-461F-B67D-232201E4CBEA}"/>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C5FE" w14:textId="77777777" w:rsidR="004D2E6D" w:rsidRDefault="004D2E6D">
      <w:r>
        <w:separator/>
      </w:r>
    </w:p>
  </w:footnote>
  <w:footnote w:type="continuationSeparator" w:id="0">
    <w:p w14:paraId="0A51F41C" w14:textId="77777777" w:rsidR="004D2E6D" w:rsidRDefault="004D2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FAAD" w14:textId="77777777" w:rsidR="001B0C51" w:rsidRDefault="00000000">
    <w:pPr>
      <w:pBdr>
        <w:top w:val="nil"/>
        <w:left w:val="nil"/>
        <w:bottom w:val="nil"/>
        <w:right w:val="nil"/>
        <w:between w:val="nil"/>
      </w:pBdr>
      <w:bidi/>
      <w:rPr>
        <w:color w:val="000000"/>
        <w:sz w:val="22"/>
        <w:szCs w:val="22"/>
      </w:rPr>
    </w:pPr>
    <w:r>
      <w:rPr>
        <w:color w:val="000000"/>
        <w:sz w:val="22"/>
        <w:szCs w:val="22"/>
      </w:rPr>
      <w:pict w14:anchorId="38675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left:0;text-align:left;margin-left:0;margin-top:0;width:595pt;height:841pt;z-index:-251657728;mso-position-horizontal:center;mso-position-horizontal-relative:left-margin-area;mso-position-vertical:center;mso-position-vertical-relative:top-margin-area">
          <v:imagedata r:id="rId1" o:title="image2"/>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1F9D6" w14:textId="6B0898B0" w:rsidR="001B0C51" w:rsidRDefault="001B0C51">
    <w:pPr>
      <w:pBdr>
        <w:top w:val="nil"/>
        <w:left w:val="nil"/>
        <w:bottom w:val="nil"/>
        <w:right w:val="nil"/>
        <w:between w:val="nil"/>
      </w:pBdr>
      <w:bidi/>
      <w:rPr>
        <w:rFonts w:hint="cs"/>
        <w:color w:val="000000"/>
        <w:sz w:val="22"/>
        <w:szCs w:val="22"/>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0BF4" w14:textId="77777777" w:rsidR="001B0C51" w:rsidRDefault="00000000">
    <w:pPr>
      <w:pBdr>
        <w:top w:val="nil"/>
        <w:left w:val="nil"/>
        <w:bottom w:val="nil"/>
        <w:right w:val="nil"/>
        <w:between w:val="nil"/>
      </w:pBdr>
      <w:bidi/>
      <w:rPr>
        <w:color w:val="000000"/>
        <w:sz w:val="22"/>
        <w:szCs w:val="22"/>
      </w:rPr>
    </w:pPr>
    <w:r>
      <w:rPr>
        <w:color w:val="000000"/>
        <w:sz w:val="22"/>
        <w:szCs w:val="22"/>
      </w:rPr>
      <w:pict w14:anchorId="3B247D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left:0;text-align:left;margin-left:0;margin-top:0;width:595pt;height:841pt;z-index:-251658752;mso-position-horizontal:center;mso-position-horizontal-relative:left-margin-area;mso-position-vertical:center;mso-position-vertical-relative:top-margin-area">
          <v:imagedata r:id="rId1" o:title="image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73048"/>
    <w:multiLevelType w:val="multilevel"/>
    <w:tmpl w:val="E63E88B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213228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C51"/>
    <w:rsid w:val="001B0C51"/>
    <w:rsid w:val="004D2E6D"/>
    <w:rsid w:val="006C52FA"/>
    <w:rsid w:val="009F5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6F07B"/>
  <w15:docId w15:val="{DE4B7AB1-676B-4648-8BF7-5A371472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footer"/>
    <w:basedOn w:val="a"/>
    <w:link w:val="Char"/>
    <w:uiPriority w:val="99"/>
    <w:unhideWhenUsed/>
    <w:rsid w:val="006C52FA"/>
    <w:pPr>
      <w:tabs>
        <w:tab w:val="center" w:pos="4153"/>
        <w:tab w:val="right" w:pos="8306"/>
      </w:tabs>
    </w:pPr>
  </w:style>
  <w:style w:type="character" w:customStyle="1" w:styleId="Char">
    <w:name w:val="تذييل الصفحة Char"/>
    <w:basedOn w:val="a0"/>
    <w:link w:val="a5"/>
    <w:uiPriority w:val="99"/>
    <w:rsid w:val="006C5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2221</Characters>
  <Application>Microsoft Office Word</Application>
  <DocSecurity>0</DocSecurity>
  <Lines>65</Lines>
  <Paragraphs>32</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2</cp:revision>
  <dcterms:created xsi:type="dcterms:W3CDTF">2026-07-20T20:40:00Z</dcterms:created>
  <dcterms:modified xsi:type="dcterms:W3CDTF">2026-07-20T20:40:00Z</dcterms:modified>
</cp:coreProperties>
</file>