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B3990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527C555A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6E34A45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58A4F41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4B35B51B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6671ABF7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1DF16C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567A5172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D936B3D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140" w:hanging="283"/>
        <w:jc w:val="center"/>
        <w:rPr>
          <w:rFonts w:ascii="Sakkal Majalla" w:eastAsia="Sakkal Majalla" w:hAnsi="Sakkal Majalla" w:cs="Sakkal Majalla"/>
          <w:color w:val="000000"/>
          <w:sz w:val="50"/>
          <w:szCs w:val="50"/>
        </w:rPr>
      </w:pPr>
    </w:p>
    <w:p w14:paraId="0B85E16C" w14:textId="77777777" w:rsidR="00765BE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143"/>
        <w:jc w:val="center"/>
        <w:rPr>
          <w:rFonts w:ascii="Sakkal Majalla" w:eastAsia="Sakkal Majalla" w:hAnsi="Sakkal Majalla" w:cs="Sakkal Majalla"/>
          <w:b/>
          <w:bCs/>
          <w:color w:val="000000"/>
          <w:sz w:val="56"/>
          <w:szCs w:val="56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56"/>
          <w:szCs w:val="56"/>
          <w:rtl/>
        </w:rPr>
        <w:t>سياسة إدارة المخاطر المالية</w:t>
      </w:r>
    </w:p>
    <w:p w14:paraId="2A25B30B" w14:textId="21622A4B" w:rsidR="00765BE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143"/>
        <w:jc w:val="center"/>
        <w:rPr>
          <w:rFonts w:ascii="Sakkal Majalla" w:eastAsia="Sakkal Majalla" w:hAnsi="Sakkal Majalla" w:cs="Sakkal Majalla"/>
          <w:color w:val="000000"/>
          <w:sz w:val="56"/>
          <w:szCs w:val="56"/>
        </w:rPr>
      </w:pPr>
      <w:r>
        <w:rPr>
          <w:rFonts w:ascii="Sakkal Majalla" w:eastAsia="Sakkal Majalla" w:hAnsi="Sakkal Majalla" w:cs="Sakkal Majalla"/>
          <w:color w:val="000000"/>
          <w:sz w:val="56"/>
          <w:szCs w:val="56"/>
          <w:rtl/>
        </w:rPr>
        <w:t xml:space="preserve">بجمعية </w:t>
      </w:r>
      <w:r w:rsidR="00162568">
        <w:rPr>
          <w:rFonts w:ascii="Sakkal Majalla" w:eastAsia="Sakkal Majalla" w:hAnsi="Sakkal Majalla" w:cs="Sakkal Majalla" w:hint="cs"/>
          <w:color w:val="000000"/>
          <w:sz w:val="56"/>
          <w:szCs w:val="56"/>
          <w:rtl/>
        </w:rPr>
        <w:t>..............................</w:t>
      </w:r>
    </w:p>
    <w:p w14:paraId="0352796D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E090891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B9A5E79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C27107D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41B05EA8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62C254E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69FE5C0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F3DA402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AC9AF7A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665DB17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36EDDE8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F43CA6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6B97378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38F7B17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271F98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97F41AF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72079789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84D4F1E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38E0FE8D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2A923A18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46CB8083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080DFA9C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1B53DE0F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>الفهرس</w:t>
      </w:r>
    </w:p>
    <w:p w14:paraId="7B7A9F71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tbl>
      <w:tblPr>
        <w:tblStyle w:val="a5"/>
        <w:bidiVisual/>
        <w:tblW w:w="9781" w:type="dxa"/>
        <w:tblInd w:w="-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6"/>
        <w:gridCol w:w="2835"/>
      </w:tblGrid>
      <w:tr w:rsidR="00765BE1" w14:paraId="4D5481BD" w14:textId="77777777">
        <w:trPr>
          <w:trHeight w:val="567"/>
        </w:trPr>
        <w:tc>
          <w:tcPr>
            <w:tcW w:w="6946" w:type="dxa"/>
            <w:shd w:val="clear" w:color="auto" w:fill="F2F2F2"/>
            <w:vAlign w:val="center"/>
          </w:tcPr>
          <w:p w14:paraId="2A43A28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الموضوع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7FBE9484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الصفحة</w:t>
            </w:r>
          </w:p>
        </w:tc>
      </w:tr>
      <w:tr w:rsidR="00765BE1" w14:paraId="00DBAC33" w14:textId="77777777">
        <w:trPr>
          <w:trHeight w:val="567"/>
        </w:trPr>
        <w:tc>
          <w:tcPr>
            <w:tcW w:w="6946" w:type="dxa"/>
            <w:vAlign w:val="center"/>
          </w:tcPr>
          <w:p w14:paraId="3E021E2E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مقدمة</w:t>
            </w:r>
          </w:p>
        </w:tc>
        <w:tc>
          <w:tcPr>
            <w:tcW w:w="2835" w:type="dxa"/>
            <w:vAlign w:val="center"/>
          </w:tcPr>
          <w:p w14:paraId="724CA17A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</w:t>
            </w:r>
          </w:p>
        </w:tc>
      </w:tr>
      <w:tr w:rsidR="00765BE1" w14:paraId="35BF5812" w14:textId="77777777">
        <w:trPr>
          <w:trHeight w:val="567"/>
        </w:trPr>
        <w:tc>
          <w:tcPr>
            <w:tcW w:w="6946" w:type="dxa"/>
            <w:vAlign w:val="center"/>
          </w:tcPr>
          <w:p w14:paraId="0669E324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أهداف خطة إدارة المخاطر المالية</w:t>
            </w:r>
          </w:p>
        </w:tc>
        <w:tc>
          <w:tcPr>
            <w:tcW w:w="2835" w:type="dxa"/>
            <w:vAlign w:val="center"/>
          </w:tcPr>
          <w:p w14:paraId="273BA1EA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</w:t>
            </w:r>
          </w:p>
        </w:tc>
      </w:tr>
      <w:tr w:rsidR="00765BE1" w14:paraId="3CC36F5B" w14:textId="77777777">
        <w:trPr>
          <w:trHeight w:val="567"/>
        </w:trPr>
        <w:tc>
          <w:tcPr>
            <w:tcW w:w="6946" w:type="dxa"/>
            <w:vAlign w:val="center"/>
          </w:tcPr>
          <w:p w14:paraId="08A27EBA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التعريف بالمصطلحات</w:t>
            </w:r>
          </w:p>
        </w:tc>
        <w:tc>
          <w:tcPr>
            <w:tcW w:w="2835" w:type="dxa"/>
            <w:vAlign w:val="center"/>
          </w:tcPr>
          <w:p w14:paraId="5CE448A3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</w:t>
            </w:r>
          </w:p>
        </w:tc>
      </w:tr>
      <w:tr w:rsidR="00765BE1" w14:paraId="727C97AF" w14:textId="77777777">
        <w:trPr>
          <w:trHeight w:val="567"/>
        </w:trPr>
        <w:tc>
          <w:tcPr>
            <w:tcW w:w="6946" w:type="dxa"/>
            <w:vAlign w:val="center"/>
          </w:tcPr>
          <w:p w14:paraId="3093BD3E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منهجية إدارة المخاطر المالية بالجمعية</w:t>
            </w:r>
          </w:p>
        </w:tc>
        <w:tc>
          <w:tcPr>
            <w:tcW w:w="2835" w:type="dxa"/>
            <w:vAlign w:val="center"/>
          </w:tcPr>
          <w:p w14:paraId="2ECFBC6E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2</w:t>
            </w:r>
          </w:p>
        </w:tc>
      </w:tr>
      <w:tr w:rsidR="00765BE1" w14:paraId="2BC0211A" w14:textId="77777777">
        <w:trPr>
          <w:trHeight w:val="567"/>
        </w:trPr>
        <w:tc>
          <w:tcPr>
            <w:tcW w:w="6946" w:type="dxa"/>
            <w:vAlign w:val="center"/>
          </w:tcPr>
          <w:p w14:paraId="30D3F89B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نموذج إدارة ودراسة  المخاطر المالية للجمعية</w:t>
            </w:r>
          </w:p>
        </w:tc>
        <w:tc>
          <w:tcPr>
            <w:tcW w:w="2835" w:type="dxa"/>
            <w:vAlign w:val="center"/>
          </w:tcPr>
          <w:p w14:paraId="4EF518AA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3</w:t>
            </w:r>
          </w:p>
        </w:tc>
      </w:tr>
      <w:tr w:rsidR="00765BE1" w14:paraId="27A5E7C9" w14:textId="77777777">
        <w:trPr>
          <w:trHeight w:val="567"/>
        </w:trPr>
        <w:tc>
          <w:tcPr>
            <w:tcW w:w="6946" w:type="dxa"/>
            <w:vAlign w:val="center"/>
          </w:tcPr>
          <w:p w14:paraId="04C2B924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خطة إدارة المخاطر المالية</w:t>
            </w:r>
          </w:p>
        </w:tc>
        <w:tc>
          <w:tcPr>
            <w:tcW w:w="2835" w:type="dxa"/>
            <w:vAlign w:val="center"/>
          </w:tcPr>
          <w:p w14:paraId="3D4553A0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4</w:t>
            </w:r>
          </w:p>
        </w:tc>
      </w:tr>
    </w:tbl>
    <w:p w14:paraId="22B9C883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4C4E0FCC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69C0E68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285834E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5AF1C79F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088412D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4DD3105A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35273585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3C3D0D9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0D3EAD9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3895ACD4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61142558" w14:textId="77777777" w:rsidR="00765BE1" w:rsidRDefault="00765BE1">
      <w:pPr>
        <w:jc w:val="center"/>
        <w:rPr>
          <w:rFonts w:ascii="Sakkal Majalla" w:eastAsia="Sakkal Majalla" w:hAnsi="Sakkal Majalla" w:cs="Sakkal Majalla"/>
          <w:sz w:val="28"/>
          <w:szCs w:val="28"/>
        </w:rPr>
      </w:pPr>
    </w:p>
    <w:p w14:paraId="5CE98320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>مقدمة :</w:t>
      </w:r>
    </w:p>
    <w:p w14:paraId="05583A85" w14:textId="5B7489D7" w:rsidR="00765BE1" w:rsidRDefault="00000000">
      <w:pPr>
        <w:ind w:firstLine="360"/>
        <w:jc w:val="both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تحرص </w:t>
      </w:r>
      <w:r w:rsidR="00162568">
        <w:rPr>
          <w:rFonts w:ascii="Sakkal Majalla" w:eastAsia="Sakkal Majalla" w:hAnsi="Sakkal Majalla" w:cs="Sakkal Majalla"/>
          <w:sz w:val="28"/>
          <w:szCs w:val="28"/>
          <w:rtl/>
        </w:rPr>
        <w:t>......................................</w:t>
      </w:r>
      <w:r>
        <w:rPr>
          <w:rFonts w:ascii="Sakkal Majalla" w:eastAsia="Sakkal Majalla" w:hAnsi="Sakkal Majalla" w:cs="Sakkal Majalla"/>
          <w:sz w:val="28"/>
          <w:szCs w:val="28"/>
          <w:rtl/>
        </w:rPr>
        <w:t>على إدارة المخاطر المالية التي تواجهها نظرا للتغيرات الاقتصادية الكبيرة التي تؤثر على القطاع الخيري بشكل عام ، وإيمانا من الجمعية أن إدارة المخاطر المالية تسهم في حفظ الوقت وتوفير الجهود وتحقيق أهدافها الاستراتيجية الساعية إلى تحقيق الاستدامة المالية .</w:t>
      </w:r>
    </w:p>
    <w:p w14:paraId="24C9B644" w14:textId="77777777" w:rsidR="00765BE1" w:rsidRDefault="00765BE1">
      <w:pPr>
        <w:ind w:firstLine="360"/>
        <w:jc w:val="both"/>
        <w:rPr>
          <w:rFonts w:ascii="Sakkal Majalla" w:eastAsia="Sakkal Majalla" w:hAnsi="Sakkal Majalla" w:cs="Sakkal Majalla"/>
          <w:sz w:val="28"/>
          <w:szCs w:val="28"/>
        </w:rPr>
      </w:pPr>
    </w:p>
    <w:p w14:paraId="69622026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>أهداف إدارة المخاطر المالية :</w:t>
      </w:r>
    </w:p>
    <w:p w14:paraId="74783CA6" w14:textId="77777777" w:rsidR="00765B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تحقيق مستهدفات البعد المالي في الخطة الاستراتيجية .</w:t>
      </w:r>
    </w:p>
    <w:p w14:paraId="43BBAD42" w14:textId="77777777" w:rsidR="00765B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تنمية المكتسبات المالية للجمعية من موارد وأصول .</w:t>
      </w:r>
    </w:p>
    <w:p w14:paraId="11F287AF" w14:textId="77777777" w:rsidR="00765B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زيادة فاعلية تنمية الموارد المالية .</w:t>
      </w:r>
    </w:p>
    <w:p w14:paraId="204BFBB9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</w:rPr>
      </w:pPr>
    </w:p>
    <w:p w14:paraId="1E04B60F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>التعريف بالمصطلحات :</w:t>
      </w:r>
    </w:p>
    <w:tbl>
      <w:tblPr>
        <w:tblStyle w:val="a6"/>
        <w:bidiVisual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1837"/>
        <w:gridCol w:w="7132"/>
      </w:tblGrid>
      <w:tr w:rsidR="00765BE1" w14:paraId="4F42F375" w14:textId="77777777">
        <w:trPr>
          <w:trHeight w:val="452"/>
        </w:trPr>
        <w:tc>
          <w:tcPr>
            <w:tcW w:w="659" w:type="dxa"/>
            <w:shd w:val="clear" w:color="auto" w:fill="E7E6E6"/>
            <w:vAlign w:val="center"/>
          </w:tcPr>
          <w:p w14:paraId="35C92CB9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م</w:t>
            </w:r>
          </w:p>
        </w:tc>
        <w:tc>
          <w:tcPr>
            <w:tcW w:w="1837" w:type="dxa"/>
            <w:shd w:val="clear" w:color="auto" w:fill="E7E6E6"/>
            <w:vAlign w:val="center"/>
          </w:tcPr>
          <w:p w14:paraId="01C595CB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المصطلح</w:t>
            </w:r>
          </w:p>
        </w:tc>
        <w:tc>
          <w:tcPr>
            <w:tcW w:w="7132" w:type="dxa"/>
            <w:shd w:val="clear" w:color="auto" w:fill="E7E6E6"/>
            <w:vAlign w:val="center"/>
          </w:tcPr>
          <w:p w14:paraId="14104565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التعريف</w:t>
            </w:r>
          </w:p>
        </w:tc>
      </w:tr>
      <w:tr w:rsidR="00765BE1" w14:paraId="77637CA4" w14:textId="77777777">
        <w:trPr>
          <w:trHeight w:val="567"/>
        </w:trPr>
        <w:tc>
          <w:tcPr>
            <w:tcW w:w="659" w:type="dxa"/>
            <w:shd w:val="clear" w:color="auto" w:fill="F2F2F2"/>
            <w:vAlign w:val="center"/>
          </w:tcPr>
          <w:p w14:paraId="5682B016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1837" w:type="dxa"/>
            <w:vAlign w:val="center"/>
          </w:tcPr>
          <w:p w14:paraId="6EAA1B00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الخطر </w:t>
            </w:r>
          </w:p>
        </w:tc>
        <w:tc>
          <w:tcPr>
            <w:tcW w:w="7132" w:type="dxa"/>
            <w:vAlign w:val="center"/>
          </w:tcPr>
          <w:p w14:paraId="0EDAB521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حدث يؤثر سلبيا بشكل مباشر أو غير مباشر على الجمعية </w:t>
            </w:r>
          </w:p>
        </w:tc>
      </w:tr>
      <w:tr w:rsidR="00765BE1" w14:paraId="4F9AAFDB" w14:textId="77777777">
        <w:trPr>
          <w:trHeight w:val="567"/>
        </w:trPr>
        <w:tc>
          <w:tcPr>
            <w:tcW w:w="659" w:type="dxa"/>
            <w:shd w:val="clear" w:color="auto" w:fill="F2F2F2"/>
            <w:vAlign w:val="center"/>
          </w:tcPr>
          <w:p w14:paraId="3EB18E9F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1837" w:type="dxa"/>
            <w:vAlign w:val="center"/>
          </w:tcPr>
          <w:p w14:paraId="3CB94B18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المخاطر</w:t>
            </w:r>
          </w:p>
        </w:tc>
        <w:tc>
          <w:tcPr>
            <w:tcW w:w="7132" w:type="dxa"/>
            <w:vAlign w:val="center"/>
          </w:tcPr>
          <w:p w14:paraId="2B82AFB0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مجموعة أحداث تؤثر سلبيا مجتمعة أو متفرقة على الجمعية</w:t>
            </w:r>
          </w:p>
        </w:tc>
      </w:tr>
      <w:tr w:rsidR="00765BE1" w14:paraId="0BF7B19B" w14:textId="77777777">
        <w:trPr>
          <w:trHeight w:val="567"/>
        </w:trPr>
        <w:tc>
          <w:tcPr>
            <w:tcW w:w="659" w:type="dxa"/>
            <w:shd w:val="clear" w:color="auto" w:fill="F2F2F2"/>
            <w:vAlign w:val="center"/>
          </w:tcPr>
          <w:p w14:paraId="7C5931E2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1837" w:type="dxa"/>
            <w:vAlign w:val="center"/>
          </w:tcPr>
          <w:p w14:paraId="04DB9654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إدارة المخاطر</w:t>
            </w:r>
          </w:p>
        </w:tc>
        <w:tc>
          <w:tcPr>
            <w:tcW w:w="7132" w:type="dxa"/>
            <w:vAlign w:val="center"/>
          </w:tcPr>
          <w:p w14:paraId="7722C54A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عمليات وأنشطة إدارية تتحكم في المخاطر وتؤدي إلى تلافيها أو ضعف تأثيرها</w:t>
            </w:r>
          </w:p>
        </w:tc>
      </w:tr>
      <w:tr w:rsidR="00765BE1" w14:paraId="7848DAEC" w14:textId="77777777">
        <w:trPr>
          <w:trHeight w:val="567"/>
        </w:trPr>
        <w:tc>
          <w:tcPr>
            <w:tcW w:w="659" w:type="dxa"/>
            <w:shd w:val="clear" w:color="auto" w:fill="F2F2F2"/>
            <w:vAlign w:val="center"/>
          </w:tcPr>
          <w:p w14:paraId="38653564" w14:textId="77777777" w:rsidR="00765BE1" w:rsidRDefault="00000000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lastRenderedPageBreak/>
              <w:t>4</w:t>
            </w:r>
          </w:p>
        </w:tc>
        <w:tc>
          <w:tcPr>
            <w:tcW w:w="1837" w:type="dxa"/>
            <w:vAlign w:val="center"/>
          </w:tcPr>
          <w:p w14:paraId="1DBE0C01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تقييم المخاطر</w:t>
            </w:r>
          </w:p>
        </w:tc>
        <w:tc>
          <w:tcPr>
            <w:tcW w:w="7132" w:type="dxa"/>
            <w:vAlign w:val="center"/>
          </w:tcPr>
          <w:p w14:paraId="1EDF5191" w14:textId="77777777" w:rsidR="00765BE1" w:rsidRDefault="00000000">
            <w:pPr>
              <w:spacing w:after="0" w:line="240" w:lineRule="auto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عمليات تقييم تتعلق باحتمالية حدوث تلك المخاطر واحتمالية تأثيرها على الجمعية وقياس معدل حدوثها</w:t>
            </w:r>
          </w:p>
        </w:tc>
      </w:tr>
    </w:tbl>
    <w:p w14:paraId="1E03993B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</w:rPr>
      </w:pPr>
    </w:p>
    <w:p w14:paraId="0B1A2BE7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t>منهجية إدارة المخاطر المالية في الجمعية :</w:t>
      </w:r>
    </w:p>
    <w:p w14:paraId="0612EAA1" w14:textId="77777777" w:rsidR="00765BE1" w:rsidRDefault="00000000">
      <w:pPr>
        <w:spacing w:after="160" w:line="259" w:lineRule="auto"/>
        <w:rPr>
          <w:rFonts w:ascii="Sakkal Majalla" w:eastAsia="Sakkal Majalla" w:hAnsi="Sakkal Majalla" w:cs="Sakkal Majalla"/>
          <w:b/>
          <w:bCs/>
          <w:sz w:val="28"/>
          <w:szCs w:val="28"/>
        </w:rPr>
      </w:pPr>
      <w:r>
        <w:rPr>
          <w:rFonts w:ascii="Sakkal Majalla" w:eastAsia="Sakkal Majalla" w:hAnsi="Sakkal Majalla" w:cs="Sakkal Majalla"/>
          <w:b/>
          <w:bCs/>
          <w:sz w:val="28"/>
          <w:szCs w:val="28"/>
          <w:rtl/>
        </w:rPr>
        <w:t xml:space="preserve">1. تشكيل فريق لإدارة المخاطر : </w:t>
      </w:r>
    </w:p>
    <w:p w14:paraId="1EBFCE53" w14:textId="77777777" w:rsidR="00765BE1" w:rsidRDefault="00000000">
      <w:pPr>
        <w:ind w:left="360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مهام الفريق :</w:t>
      </w:r>
    </w:p>
    <w:p w14:paraId="3F5B0398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دراسة وتحليل المخاطر .</w:t>
      </w:r>
    </w:p>
    <w:p w14:paraId="21A5B5F6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إعداد خطة إدارة المخاطر .</w:t>
      </w:r>
    </w:p>
    <w:p w14:paraId="6D426CBD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تحديد مسؤول عن كل خطر يتم دراسته وتحليله .</w:t>
      </w:r>
    </w:p>
    <w:p w14:paraId="28528EB7" w14:textId="77777777" w:rsidR="00765BE1" w:rsidRDefault="00765BE1">
      <w:pPr>
        <w:spacing w:after="160" w:line="259" w:lineRule="auto"/>
        <w:rPr>
          <w:rFonts w:ascii="Sakkal Majalla" w:eastAsia="Sakkal Majalla" w:hAnsi="Sakkal Majalla" w:cs="Sakkal Majalla"/>
          <w:sz w:val="28"/>
          <w:szCs w:val="28"/>
        </w:rPr>
      </w:pPr>
    </w:p>
    <w:p w14:paraId="0239C64B" w14:textId="77777777" w:rsidR="00765BE1" w:rsidRDefault="00765BE1">
      <w:pPr>
        <w:spacing w:after="160" w:line="259" w:lineRule="auto"/>
        <w:rPr>
          <w:rFonts w:ascii="Sakkal Majalla" w:eastAsia="Sakkal Majalla" w:hAnsi="Sakkal Majalla" w:cs="Sakkal Majalla"/>
          <w:sz w:val="28"/>
          <w:szCs w:val="28"/>
        </w:rPr>
      </w:pPr>
    </w:p>
    <w:p w14:paraId="7D78ED7B" w14:textId="77777777" w:rsidR="00765BE1" w:rsidRDefault="00765BE1">
      <w:pPr>
        <w:spacing w:after="160" w:line="259" w:lineRule="auto"/>
        <w:rPr>
          <w:rFonts w:ascii="Sakkal Majalla" w:eastAsia="Sakkal Majalla" w:hAnsi="Sakkal Majalla" w:cs="Sakkal Majalla"/>
          <w:sz w:val="28"/>
          <w:szCs w:val="28"/>
        </w:rPr>
      </w:pPr>
    </w:p>
    <w:p w14:paraId="233B7768" w14:textId="77777777" w:rsidR="00765BE1" w:rsidRDefault="00000000">
      <w:pPr>
        <w:spacing w:after="160" w:line="259" w:lineRule="auto"/>
        <w:rPr>
          <w:rFonts w:ascii="Sakkal Majalla" w:eastAsia="Sakkal Majalla" w:hAnsi="Sakkal Majalla" w:cs="Sakkal Majalla"/>
          <w:b/>
          <w:bCs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</w:rPr>
        <w:t xml:space="preserve">2. </w:t>
      </w:r>
      <w:r>
        <w:rPr>
          <w:rFonts w:ascii="Sakkal Majalla" w:eastAsia="Sakkal Majalla" w:hAnsi="Sakkal Majalla" w:cs="Sakkal Majalla"/>
          <w:b/>
          <w:bCs/>
          <w:sz w:val="28"/>
          <w:szCs w:val="28"/>
          <w:rtl/>
        </w:rPr>
        <w:t>إعداد آلية متابعة وقياس كفاءة إدارة المخاطر :</w:t>
      </w:r>
    </w:p>
    <w:p w14:paraId="3B609498" w14:textId="77777777" w:rsidR="00765BE1" w:rsidRDefault="00000000">
      <w:pPr>
        <w:ind w:left="360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>آلية المتابعة :</w:t>
      </w:r>
    </w:p>
    <w:p w14:paraId="03314D76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تحديد مسؤول لمتابعة خطة إدارة المخاطر  .</w:t>
      </w:r>
    </w:p>
    <w:p w14:paraId="15754ADD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متابعة تفعيل نموذج إدارة المخاطر لدى كافة المعنيين في الجمعية .</w:t>
      </w:r>
    </w:p>
    <w:p w14:paraId="4FC5AD18" w14:textId="77777777" w:rsidR="00765B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>متابعة سير خطة إدارة المخاطر .</w:t>
      </w:r>
    </w:p>
    <w:p w14:paraId="6D8E5406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54756157" w14:textId="77777777" w:rsidR="00162568" w:rsidRDefault="00162568">
      <w:pPr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24B5534D" w14:textId="77777777" w:rsidR="00162568" w:rsidRDefault="00162568">
      <w:pPr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2CCCDCDA" w14:textId="77777777" w:rsidR="00162568" w:rsidRDefault="00162568">
      <w:pPr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493BB33B" w14:textId="77777777" w:rsidR="00162568" w:rsidRDefault="00162568">
      <w:pPr>
        <w:rPr>
          <w:rFonts w:ascii="Sakkal Majalla" w:eastAsia="Sakkal Majalla" w:hAnsi="Sakkal Majalla" w:cs="Sakkal Majalla"/>
          <w:sz w:val="28"/>
          <w:szCs w:val="28"/>
        </w:rPr>
      </w:pPr>
    </w:p>
    <w:p w14:paraId="083A5003" w14:textId="77777777" w:rsidR="00765B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lastRenderedPageBreak/>
        <w:t>نموذج إدارة ودراسة المخاطر المالية للجمعية :</w:t>
      </w:r>
    </w:p>
    <w:p w14:paraId="401C30DF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148BB42E" w14:textId="77777777" w:rsidR="00765BE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69819B6" wp14:editId="441F64E9">
                <wp:simplePos x="0" y="0"/>
                <wp:positionH relativeFrom="column">
                  <wp:posOffset>2022475</wp:posOffset>
                </wp:positionH>
                <wp:positionV relativeFrom="paragraph">
                  <wp:posOffset>121285</wp:posOffset>
                </wp:positionV>
                <wp:extent cx="2171065" cy="429895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6818" y="3571403"/>
                          <a:ext cx="2158365" cy="41719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A8D08D"/>
                            </a:gs>
                            <a:gs pos="50000">
                              <a:srgbClr val="E2EFD9"/>
                            </a:gs>
                            <a:gs pos="100000">
                              <a:srgbClr val="A8D08D"/>
                            </a:gs>
                          </a:gsLst>
                          <a:lin ang="18900000" scaled="0"/>
                        </a:gradFill>
                        <a:ln w="12700" cap="flat" cmpd="sng">
                          <a:solidFill>
                            <a:srgbClr val="A8D08D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rgbClr val="375623">
                              <a:alpha val="50196"/>
                            </a:srgbClr>
                          </a:outerShdw>
                        </a:effectLst>
                      </wps:spPr>
                      <wps:txbx>
                        <w:txbxContent>
                          <w:p w14:paraId="449CF9C1" w14:textId="77777777" w:rsidR="00765BE1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Sakkal Majalla" w:eastAsia="Sakkal Majalla" w:hAnsi="Sakkal Majalla" w:cs="Sakkal Majalla"/>
                                <w:color w:val="000000"/>
                                <w:sz w:val="44"/>
                              </w:rPr>
                              <w:t>المخاطر المالية</w:t>
                            </w:r>
                            <w:r>
                              <w:rPr>
                                <w:color w:val="00000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eastAsia="Sakkal Majalla" w:hAnsi="Sakkal Majalla" w:cs="Sakkal Majalla"/>
                                <w:color w:val="000000"/>
                                <w:sz w:val="44"/>
                              </w:rPr>
                              <w:t>للجمعية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2022475</wp:posOffset>
                </wp:positionH>
                <wp:positionV relativeFrom="paragraph">
                  <wp:posOffset>121285</wp:posOffset>
                </wp:positionV>
                <wp:extent cx="2171065" cy="42989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065" cy="429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8C0208" w14:textId="77777777" w:rsidR="00765BE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036F19FC" wp14:editId="58449C22">
                <wp:simplePos x="0" y="0"/>
                <wp:positionH relativeFrom="column">
                  <wp:posOffset>1883093</wp:posOffset>
                </wp:positionH>
                <wp:positionV relativeFrom="paragraph">
                  <wp:posOffset>124777</wp:posOffset>
                </wp:positionV>
                <wp:extent cx="1285875" cy="995680"/>
                <wp:effectExtent l="0" t="0" r="0" b="0"/>
                <wp:wrapNone/>
                <wp:docPr id="2" name="قوس متوسط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7825" y="3286923"/>
                          <a:ext cx="1276350" cy="986155"/>
                        </a:xfrm>
                        <a:prstGeom prst="leftBracket">
                          <a:avLst>
                            <a:gd name="adj" fmla="val 8333"/>
                          </a:avLst>
                        </a:prstGeom>
                        <a:noFill/>
                        <a:ln w="9525" cap="flat" cmpd="sng">
                          <a:solidFill>
                            <a:srgbClr val="823B0B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CAAA2B" w14:textId="77777777" w:rsidR="00765BE1" w:rsidRDefault="00765BE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1883093</wp:posOffset>
                </wp:positionH>
                <wp:positionV relativeFrom="paragraph">
                  <wp:posOffset>124777</wp:posOffset>
                </wp:positionV>
                <wp:extent cx="1285875" cy="99568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995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36C505" w14:textId="77777777" w:rsidR="00765BE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5B26980C" wp14:editId="72A3DA13">
                <wp:simplePos x="0" y="0"/>
                <wp:positionH relativeFrom="column">
                  <wp:posOffset>3101657</wp:posOffset>
                </wp:positionH>
                <wp:positionV relativeFrom="paragraph">
                  <wp:posOffset>614363</wp:posOffset>
                </wp:positionV>
                <wp:extent cx="2461895" cy="1285875"/>
                <wp:effectExtent l="0" t="0" r="0" b="0"/>
                <wp:wrapNone/>
                <wp:docPr id="6" name="قوس متوسط أيس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4707825" y="2553815"/>
                          <a:ext cx="1276350" cy="2452370"/>
                        </a:xfrm>
                        <a:prstGeom prst="leftBracket">
                          <a:avLst>
                            <a:gd name="adj" fmla="val 16012"/>
                          </a:avLst>
                        </a:prstGeom>
                        <a:noFill/>
                        <a:ln w="9525" cap="flat" cmpd="sng">
                          <a:solidFill>
                            <a:srgbClr val="823B0B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B61019" w14:textId="77777777" w:rsidR="00765BE1" w:rsidRDefault="00765BE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3101657</wp:posOffset>
                </wp:positionH>
                <wp:positionV relativeFrom="paragraph">
                  <wp:posOffset>614363</wp:posOffset>
                </wp:positionV>
                <wp:extent cx="2461895" cy="128587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1895" cy="1285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C314209" w14:textId="77777777" w:rsidR="00765BE1" w:rsidRDefault="00765B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</w:p>
    <w:p w14:paraId="58BF186D" w14:textId="26F2DD0C" w:rsidR="00765BE1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Sakkal Majalla" w:eastAsia="Sakkal Majalla" w:hAnsi="Sakkal Majalla" w:cs="Sakkal Majalla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12F20351" wp14:editId="3DF3A3A0">
                <wp:simplePos x="0" y="0"/>
                <wp:positionH relativeFrom="column">
                  <wp:posOffset>616903</wp:posOffset>
                </wp:positionH>
                <wp:positionV relativeFrom="paragraph">
                  <wp:posOffset>957263</wp:posOffset>
                </wp:positionV>
                <wp:extent cx="2527935" cy="1416685"/>
                <wp:effectExtent l="0" t="0" r="0" b="0"/>
                <wp:wrapNone/>
                <wp:docPr id="5" name="قوس متوسط أيس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4642418" y="2520478"/>
                          <a:ext cx="1407164" cy="2519044"/>
                        </a:xfrm>
                        <a:prstGeom prst="leftBracket">
                          <a:avLst>
                            <a:gd name="adj" fmla="val 5717"/>
                          </a:avLst>
                        </a:prstGeom>
                        <a:noFill/>
                        <a:ln w="9525" cap="flat" cmpd="sng">
                          <a:solidFill>
                            <a:srgbClr val="823B0B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618DB4" w14:textId="77777777" w:rsidR="00765BE1" w:rsidRDefault="00765BE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F2035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قوس متوسط أيسر 5" o:spid="_x0000_s1029" type="#_x0000_t85" style="position:absolute;left:0;text-align:left;margin-left:48.6pt;margin-top:75.4pt;width:199.05pt;height:111.55pt;rotation:90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" adj="690" strokecolor="#823b0b">
                <v:stroke startarrowwidth="narrow" startarrowlength="short" endarrowwidth="narrow" endarrowlength="short"/>
                <v:textbox inset="2.53958mm,2.53958mm,2.53958mm,2.53958mm">
                  <w:txbxContent>
                    <w:p w14:paraId="7F618DB4" w14:textId="77777777" w:rsidR="00765BE1" w:rsidRDefault="00765BE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619008A" w14:textId="4E16D1D3" w:rsidR="00765BE1" w:rsidRDefault="00162568">
      <w:pPr>
        <w:spacing w:after="160" w:line="259" w:lineRule="auto"/>
        <w:ind w:left="360"/>
        <w:rPr>
          <w:rFonts w:ascii="Sakkal Majalla" w:eastAsia="Sakkal Majalla" w:hAnsi="Sakkal Majalla" w:cs="Sakkal Majall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B9F0F50" wp14:editId="297EC1A5">
                <wp:simplePos x="0" y="0"/>
                <wp:positionH relativeFrom="column">
                  <wp:posOffset>4403725</wp:posOffset>
                </wp:positionH>
                <wp:positionV relativeFrom="paragraph">
                  <wp:posOffset>1030605</wp:posOffset>
                </wp:positionV>
                <wp:extent cx="1880870" cy="1356360"/>
                <wp:effectExtent l="0" t="0" r="0" b="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870" cy="135636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0"/>
                        </a:gradFill>
                        <a:ln w="12700" cap="flat" cmpd="sng">
                          <a:solidFill>
                            <a:srgbClr val="FFD96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rgbClr val="7F5F00">
                              <a:alpha val="50196"/>
                            </a:srgbClr>
                          </a:outerShdw>
                        </a:effectLst>
                      </wps:spPr>
                      <wps:txbx>
                        <w:txbxContent>
                          <w:p w14:paraId="22EB276B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تنمية الموارد المالية :</w:t>
                            </w:r>
                          </w:p>
                          <w:p w14:paraId="3254040C" w14:textId="77777777" w:rsidR="00765BE1" w:rsidRDefault="00765BE1">
                            <w:pPr>
                              <w:spacing w:line="275" w:lineRule="auto"/>
                              <w:ind w:left="720"/>
                              <w:textDirection w:val="btLr"/>
                            </w:pPr>
                          </w:p>
                          <w:p w14:paraId="5C2C0178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انقطاع المتبرعين</w:t>
                            </w:r>
                          </w:p>
                          <w:p w14:paraId="1F4152E1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التصاريح والفسوحات للحملات التسويقية</w:t>
                            </w:r>
                          </w:p>
                          <w:p w14:paraId="28154600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انخفاض الاستقطاعات</w:t>
                            </w:r>
                          </w:p>
                          <w:p w14:paraId="532B33AF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توجهات الجهات المانحة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9F0F50" id="مستطيل 7" o:spid="_x0000_s1030" style="position:absolute;left:0;text-align:left;margin-left:346.75pt;margin-top:81.15pt;width:148.1pt;height:10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" fillcolor="#ffd966" strokecolor="#ffd966" strokeweight="1pt">
                <v:fill color2="#fff2cc" angle="135" focus="50%" type="gradient">
                  <o:fill v:ext="view" type="gradientUnscaled"/>
                </v:fill>
                <v:stroke startarrowwidth="narrow" startarrowlength="short" endarrowwidth="narrow" endarrowlength="short" miterlimit="5243f"/>
                <v:shadow on="t" color="#7f5f00" opacity="32896f" offset="1pt"/>
                <v:textbox inset="2.53958mm,1.2694mm,2.53958mm,1.2694mm">
                  <w:txbxContent>
                    <w:p w14:paraId="22EB276B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تنمية الموارد المالية :</w:t>
                      </w:r>
                    </w:p>
                    <w:p w14:paraId="3254040C" w14:textId="77777777" w:rsidR="00765BE1" w:rsidRDefault="00765BE1">
                      <w:pPr>
                        <w:spacing w:line="275" w:lineRule="auto"/>
                        <w:ind w:left="720"/>
                        <w:textDirection w:val="btLr"/>
                      </w:pPr>
                    </w:p>
                    <w:p w14:paraId="5C2C0178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انقطاع المتبرعين</w:t>
                      </w:r>
                    </w:p>
                    <w:p w14:paraId="1F4152E1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التصاريح والفسوحات للحملات التسويقية</w:t>
                      </w:r>
                    </w:p>
                    <w:p w14:paraId="28154600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انخفاض الاستقطاعات</w:t>
                      </w:r>
                    </w:p>
                    <w:p w14:paraId="532B33AF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توجهات الجهات المانحة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53C0EA5" wp14:editId="6950404F">
                <wp:simplePos x="0" y="0"/>
                <wp:positionH relativeFrom="column">
                  <wp:posOffset>2431415</wp:posOffset>
                </wp:positionH>
                <wp:positionV relativeFrom="paragraph">
                  <wp:posOffset>1955165</wp:posOffset>
                </wp:positionV>
                <wp:extent cx="1570990" cy="1459865"/>
                <wp:effectExtent l="0" t="0" r="0" b="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990" cy="145986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8EAADB"/>
                            </a:gs>
                            <a:gs pos="50000">
                              <a:srgbClr val="D9E2F3"/>
                            </a:gs>
                            <a:gs pos="100000">
                              <a:srgbClr val="8EAADB"/>
                            </a:gs>
                          </a:gsLst>
                          <a:lin ang="18900000" scaled="0"/>
                        </a:gradFill>
                        <a:ln w="12700" cap="flat" cmpd="sng">
                          <a:solidFill>
                            <a:srgbClr val="8EAADB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rgbClr val="1F3763">
                              <a:alpha val="50196"/>
                            </a:srgbClr>
                          </a:outerShdw>
                        </a:effectLst>
                      </wps:spPr>
                      <wps:txbx>
                        <w:txbxContent>
                          <w:p w14:paraId="03456B19" w14:textId="77777777" w:rsidR="00765BE1" w:rsidRDefault="0000000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2- الأصول الاستثمارية :</w:t>
                            </w:r>
                          </w:p>
                          <w:p w14:paraId="192A5442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انخفاض الإيجارات</w:t>
                            </w:r>
                          </w:p>
                          <w:p w14:paraId="07EF27F9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تكاليف صيانة الأصول</w:t>
                            </w:r>
                          </w:p>
                          <w:p w14:paraId="7CDD2437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تأخر السداد</w:t>
                            </w:r>
                          </w:p>
                          <w:p w14:paraId="4AC34AFD" w14:textId="77777777" w:rsidR="00765BE1" w:rsidRDefault="00765BE1">
                            <w:pPr>
                              <w:spacing w:line="275" w:lineRule="auto"/>
                              <w:jc w:val="right"/>
                              <w:textDirection w:val="tbRl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C0EA5" id="مستطيل 4" o:spid="_x0000_s1031" style="position:absolute;left:0;text-align:left;margin-left:191.45pt;margin-top:153.95pt;width:123.7pt;height:1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" fillcolor="#8eaadb" strokecolor="#8eaadb" strokeweight="1pt">
                <v:fill color2="#d9e2f3" angle="135" focus="50%" type="gradient">
                  <o:fill v:ext="view" type="gradientUnscaled"/>
                </v:fill>
                <v:stroke startarrowwidth="narrow" startarrowlength="short" endarrowwidth="narrow" endarrowlength="short" miterlimit="5243f"/>
                <v:shadow on="t" color="#1f3763" opacity="32896f" offset="1pt"/>
                <v:textbox inset="2.53958mm,1.2694mm,2.53958mm,1.2694mm">
                  <w:txbxContent>
                    <w:p w14:paraId="03456B19" w14:textId="77777777" w:rsidR="00765BE1" w:rsidRDefault="00000000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2- الأصول الاستثمارية :</w:t>
                      </w:r>
                    </w:p>
                    <w:p w14:paraId="192A5442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انخفاض الإيجارات</w:t>
                      </w:r>
                    </w:p>
                    <w:p w14:paraId="07EF27F9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تكاليف صيانة الأصول</w:t>
                      </w:r>
                    </w:p>
                    <w:p w14:paraId="7CDD2437" w14:textId="77777777" w:rsidR="00765BE1" w:rsidRDefault="00000000">
                      <w:pPr>
                        <w:spacing w:after="160" w:line="258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تأخر السداد</w:t>
                      </w:r>
                    </w:p>
                    <w:p w14:paraId="4AC34AFD" w14:textId="77777777" w:rsidR="00765BE1" w:rsidRDefault="00765BE1">
                      <w:pPr>
                        <w:spacing w:line="275" w:lineRule="auto"/>
                        <w:jc w:val="right"/>
                        <w:textDirection w:val="tbRl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rFonts w:ascii="Sakkal Majalla" w:eastAsia="Sakkal Majalla" w:hAnsi="Sakkal Majalla" w:cs="Sakkal Majalla"/>
          <w:sz w:val="28"/>
          <w:szCs w:val="28"/>
        </w:rPr>
        <w:tab/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2DC1AA9E" wp14:editId="79BB3BF9">
                <wp:simplePos x="0" y="0"/>
                <wp:positionH relativeFrom="column">
                  <wp:posOffset>-224789</wp:posOffset>
                </wp:positionH>
                <wp:positionV relativeFrom="paragraph">
                  <wp:posOffset>1951355</wp:posOffset>
                </wp:positionV>
                <wp:extent cx="1889125" cy="1316990"/>
                <wp:effectExtent l="0" t="0" r="0" b="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7788" y="3127855"/>
                          <a:ext cx="1876425" cy="130429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4B083"/>
                            </a:gs>
                            <a:gs pos="50000">
                              <a:srgbClr val="FBE4D5"/>
                            </a:gs>
                            <a:gs pos="100000">
                              <a:srgbClr val="F4B083"/>
                            </a:gs>
                          </a:gsLst>
                          <a:lin ang="18900000" scaled="0"/>
                        </a:gradFill>
                        <a:ln w="12700" cap="flat" cmpd="sng">
                          <a:solidFill>
                            <a:srgbClr val="F4B083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rgbClr val="823B0B">
                              <a:alpha val="50196"/>
                            </a:srgbClr>
                          </a:outerShdw>
                        </a:effectLst>
                      </wps:spPr>
                      <wps:txbx>
                        <w:txbxContent>
                          <w:p w14:paraId="1E88F125" w14:textId="77777777" w:rsidR="00765BE1" w:rsidRDefault="0000000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3- الوضع الاقتصادي في الجمعية :</w:t>
                            </w:r>
                          </w:p>
                          <w:p w14:paraId="0697E4F2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دخل الموظف الشهري</w:t>
                            </w:r>
                          </w:p>
                          <w:p w14:paraId="0C36DCDA" w14:textId="77777777" w:rsidR="00765BE1" w:rsidRDefault="00000000">
                            <w:pPr>
                              <w:spacing w:after="160" w:line="258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المصروفات التشغيلية</w:t>
                            </w:r>
                          </w:p>
                          <w:p w14:paraId="2FC34EDE" w14:textId="77777777" w:rsidR="00765BE1" w:rsidRDefault="00765BE1">
                            <w:pPr>
                              <w:spacing w:line="275" w:lineRule="auto"/>
                              <w:jc w:val="right"/>
                              <w:textDirection w:val="tbRl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-224789</wp:posOffset>
                </wp:positionH>
                <wp:positionV relativeFrom="paragraph">
                  <wp:posOffset>1951355</wp:posOffset>
                </wp:positionV>
                <wp:extent cx="1889125" cy="131699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9125" cy="131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ADF01D" w14:textId="77777777" w:rsidR="00162568" w:rsidRDefault="00162568">
      <w:pPr>
        <w:spacing w:after="160" w:line="259" w:lineRule="auto"/>
        <w:ind w:left="360"/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2B5467E5" w14:textId="77777777" w:rsidR="00162568" w:rsidRDefault="00162568">
      <w:pPr>
        <w:spacing w:after="160" w:line="259" w:lineRule="auto"/>
        <w:ind w:left="360"/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2A21BFBC" w14:textId="77777777" w:rsidR="00162568" w:rsidRDefault="00162568">
      <w:pPr>
        <w:spacing w:after="160" w:line="259" w:lineRule="auto"/>
        <w:ind w:left="360"/>
        <w:rPr>
          <w:rFonts w:ascii="Sakkal Majalla" w:eastAsia="Sakkal Majalla" w:hAnsi="Sakkal Majalla" w:cs="Sakkal Majalla"/>
          <w:sz w:val="28"/>
          <w:szCs w:val="28"/>
          <w:rtl/>
        </w:rPr>
      </w:pPr>
    </w:p>
    <w:p w14:paraId="5CF4852F" w14:textId="602297AD" w:rsidR="00765BE1" w:rsidRDefault="00000000">
      <w:pPr>
        <w:spacing w:after="160" w:line="259" w:lineRule="auto"/>
        <w:ind w:left="360"/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</w:rPr>
        <w:tab/>
      </w:r>
    </w:p>
    <w:p w14:paraId="2BA634B7" w14:textId="77777777" w:rsidR="00765B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  <w:sz w:val="30"/>
          <w:szCs w:val="30"/>
        </w:rPr>
      </w:pPr>
      <w:r>
        <w:rPr>
          <w:rFonts w:ascii="Sakkal Majalla" w:eastAsia="Sakkal Majalla" w:hAnsi="Sakkal Majalla" w:cs="Sakkal Majalla"/>
          <w:b/>
          <w:bCs/>
          <w:color w:val="000000"/>
          <w:sz w:val="30"/>
          <w:szCs w:val="30"/>
          <w:rtl/>
        </w:rPr>
        <w:lastRenderedPageBreak/>
        <w:t>خطة إدارة المخاطر المالية:</w:t>
      </w:r>
    </w:p>
    <w:p w14:paraId="224125C0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</w:rPr>
      </w:pPr>
    </w:p>
    <w:tbl>
      <w:tblPr>
        <w:tblStyle w:val="a7"/>
        <w:tblpPr w:leftFromText="180" w:rightFromText="180" w:vertAnchor="text" w:tblpX="641"/>
        <w:bidiVisual/>
        <w:tblW w:w="8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2089"/>
        <w:gridCol w:w="2089"/>
        <w:gridCol w:w="2089"/>
      </w:tblGrid>
      <w:tr w:rsidR="00765BE1" w14:paraId="442269A0" w14:textId="77777777">
        <w:trPr>
          <w:trHeight w:val="567"/>
        </w:trPr>
        <w:tc>
          <w:tcPr>
            <w:tcW w:w="2088" w:type="dxa"/>
            <w:vAlign w:val="center"/>
          </w:tcPr>
          <w:p w14:paraId="3852055A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احتمالية الحدوث</w:t>
            </w:r>
          </w:p>
        </w:tc>
        <w:tc>
          <w:tcPr>
            <w:tcW w:w="2089" w:type="dxa"/>
            <w:shd w:val="clear" w:color="auto" w:fill="FF0000"/>
            <w:vAlign w:val="center"/>
          </w:tcPr>
          <w:p w14:paraId="3DA415ED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عالي</w:t>
            </w:r>
          </w:p>
        </w:tc>
        <w:tc>
          <w:tcPr>
            <w:tcW w:w="2089" w:type="dxa"/>
            <w:shd w:val="clear" w:color="auto" w:fill="FFC000"/>
            <w:vAlign w:val="center"/>
          </w:tcPr>
          <w:p w14:paraId="5AEA02D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متوسط</w:t>
            </w:r>
          </w:p>
        </w:tc>
        <w:tc>
          <w:tcPr>
            <w:tcW w:w="2089" w:type="dxa"/>
            <w:shd w:val="clear" w:color="auto" w:fill="BDD6EE"/>
            <w:vAlign w:val="center"/>
          </w:tcPr>
          <w:p w14:paraId="5E7B8822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منخفض</w:t>
            </w:r>
          </w:p>
        </w:tc>
      </w:tr>
      <w:tr w:rsidR="00765BE1" w14:paraId="1A43B0FD" w14:textId="77777777">
        <w:trPr>
          <w:trHeight w:val="567"/>
        </w:trPr>
        <w:tc>
          <w:tcPr>
            <w:tcW w:w="2088" w:type="dxa"/>
            <w:vAlign w:val="center"/>
          </w:tcPr>
          <w:p w14:paraId="773B00D4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احتمالية التأثير</w:t>
            </w:r>
          </w:p>
        </w:tc>
        <w:tc>
          <w:tcPr>
            <w:tcW w:w="2089" w:type="dxa"/>
            <w:shd w:val="clear" w:color="auto" w:fill="FF0000"/>
            <w:vAlign w:val="center"/>
          </w:tcPr>
          <w:p w14:paraId="2D9BBFD3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عالي</w:t>
            </w:r>
          </w:p>
        </w:tc>
        <w:tc>
          <w:tcPr>
            <w:tcW w:w="2089" w:type="dxa"/>
            <w:shd w:val="clear" w:color="auto" w:fill="FFC000"/>
            <w:vAlign w:val="center"/>
          </w:tcPr>
          <w:p w14:paraId="4B1AD067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متوسط</w:t>
            </w:r>
          </w:p>
        </w:tc>
        <w:tc>
          <w:tcPr>
            <w:tcW w:w="2089" w:type="dxa"/>
            <w:shd w:val="clear" w:color="auto" w:fill="BDD6EE"/>
            <w:vAlign w:val="center"/>
          </w:tcPr>
          <w:p w14:paraId="5EB9D59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rtl/>
              </w:rPr>
              <w:t>منخفض</w:t>
            </w:r>
          </w:p>
        </w:tc>
      </w:tr>
    </w:tbl>
    <w:p w14:paraId="31E9970E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</w:rPr>
      </w:pPr>
    </w:p>
    <w:p w14:paraId="6954AFF4" w14:textId="77777777" w:rsidR="00765BE1" w:rsidRDefault="00765BE1">
      <w:pPr>
        <w:rPr>
          <w:rFonts w:ascii="Sakkal Majalla" w:eastAsia="Sakkal Majalla" w:hAnsi="Sakkal Majalla" w:cs="Sakkal Majalla"/>
          <w:sz w:val="28"/>
          <w:szCs w:val="28"/>
        </w:rPr>
      </w:pPr>
    </w:p>
    <w:tbl>
      <w:tblPr>
        <w:tblStyle w:val="a8"/>
        <w:bidiVisual/>
        <w:tblW w:w="10077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"/>
        <w:gridCol w:w="1417"/>
        <w:gridCol w:w="2062"/>
        <w:gridCol w:w="836"/>
        <w:gridCol w:w="836"/>
        <w:gridCol w:w="3211"/>
        <w:gridCol w:w="1372"/>
      </w:tblGrid>
      <w:tr w:rsidR="00765BE1" w14:paraId="3BC47240" w14:textId="77777777">
        <w:trPr>
          <w:trHeight w:val="249"/>
        </w:trPr>
        <w:tc>
          <w:tcPr>
            <w:tcW w:w="343" w:type="dxa"/>
            <w:shd w:val="clear" w:color="auto" w:fill="E7E6E6"/>
            <w:vAlign w:val="center"/>
          </w:tcPr>
          <w:p w14:paraId="70EF027F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1C3FC0B1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التصنيف</w:t>
            </w:r>
          </w:p>
        </w:tc>
        <w:tc>
          <w:tcPr>
            <w:tcW w:w="2062" w:type="dxa"/>
            <w:shd w:val="clear" w:color="auto" w:fill="E7E6E6"/>
            <w:vAlign w:val="center"/>
          </w:tcPr>
          <w:p w14:paraId="54D01832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الخطر</w:t>
            </w:r>
          </w:p>
        </w:tc>
        <w:tc>
          <w:tcPr>
            <w:tcW w:w="836" w:type="dxa"/>
            <w:shd w:val="clear" w:color="auto" w:fill="E7E6E6"/>
            <w:vAlign w:val="center"/>
          </w:tcPr>
          <w:p w14:paraId="4E3D247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احتمالية الحدوث</w:t>
            </w:r>
          </w:p>
        </w:tc>
        <w:tc>
          <w:tcPr>
            <w:tcW w:w="836" w:type="dxa"/>
            <w:shd w:val="clear" w:color="auto" w:fill="E7E6E6"/>
            <w:vAlign w:val="center"/>
          </w:tcPr>
          <w:p w14:paraId="1AAC84BB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احتمالية التأثير</w:t>
            </w:r>
          </w:p>
        </w:tc>
        <w:tc>
          <w:tcPr>
            <w:tcW w:w="3211" w:type="dxa"/>
            <w:shd w:val="clear" w:color="auto" w:fill="E7E6E6"/>
            <w:vAlign w:val="center"/>
          </w:tcPr>
          <w:p w14:paraId="676CC6CF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المعالجة</w:t>
            </w:r>
          </w:p>
        </w:tc>
        <w:tc>
          <w:tcPr>
            <w:tcW w:w="1372" w:type="dxa"/>
            <w:shd w:val="clear" w:color="auto" w:fill="E7E6E6"/>
            <w:vAlign w:val="center"/>
          </w:tcPr>
          <w:p w14:paraId="5313DAF9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المسؤول</w:t>
            </w:r>
          </w:p>
        </w:tc>
      </w:tr>
      <w:tr w:rsidR="00765BE1" w14:paraId="6FF478DF" w14:textId="77777777">
        <w:trPr>
          <w:trHeight w:val="907"/>
        </w:trPr>
        <w:tc>
          <w:tcPr>
            <w:tcW w:w="343" w:type="dxa"/>
            <w:shd w:val="clear" w:color="auto" w:fill="E7E6E6"/>
            <w:vAlign w:val="center"/>
          </w:tcPr>
          <w:p w14:paraId="7A5FDB63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14:paraId="4A705282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تنمية الموارد المالية</w:t>
            </w:r>
          </w:p>
        </w:tc>
        <w:tc>
          <w:tcPr>
            <w:tcW w:w="2062" w:type="dxa"/>
            <w:vAlign w:val="center"/>
          </w:tcPr>
          <w:p w14:paraId="521A34A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انقطاع المتبرعين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52627B9A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272C9EBC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75D25953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تجويد الملفات التسويقية – ابتكار منتجات تسويقية جاذبة – تكريم وتحفيز المتبرعين</w:t>
            </w:r>
          </w:p>
        </w:tc>
        <w:tc>
          <w:tcPr>
            <w:tcW w:w="1372" w:type="dxa"/>
            <w:vAlign w:val="center"/>
          </w:tcPr>
          <w:p w14:paraId="21B9CCDA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التسويق</w:t>
            </w:r>
          </w:p>
        </w:tc>
      </w:tr>
      <w:tr w:rsidR="00765BE1" w14:paraId="458CFFC2" w14:textId="77777777">
        <w:trPr>
          <w:trHeight w:val="907"/>
        </w:trPr>
        <w:tc>
          <w:tcPr>
            <w:tcW w:w="343" w:type="dxa"/>
            <w:shd w:val="clear" w:color="auto" w:fill="E7E6E6"/>
            <w:vAlign w:val="center"/>
          </w:tcPr>
          <w:p w14:paraId="10CDED43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Merge/>
            <w:vAlign w:val="center"/>
          </w:tcPr>
          <w:p w14:paraId="4713ECB2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626C3BD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التصاريح والفسوحات للحملات التسويقية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6D404C0B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56B230E4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0D0A6E14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اختيار الحملات الأسهل في التصريح – إيجاد خطة تسويقية إلكترونية بديلة</w:t>
            </w:r>
          </w:p>
        </w:tc>
        <w:tc>
          <w:tcPr>
            <w:tcW w:w="1372" w:type="dxa"/>
            <w:vAlign w:val="center"/>
          </w:tcPr>
          <w:p w14:paraId="642DA12C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التسويق</w:t>
            </w:r>
          </w:p>
        </w:tc>
      </w:tr>
      <w:tr w:rsidR="00765BE1" w14:paraId="324BA5EF" w14:textId="77777777">
        <w:trPr>
          <w:trHeight w:val="744"/>
        </w:trPr>
        <w:tc>
          <w:tcPr>
            <w:tcW w:w="343" w:type="dxa"/>
            <w:shd w:val="clear" w:color="auto" w:fill="E7E6E6"/>
            <w:vAlign w:val="center"/>
          </w:tcPr>
          <w:p w14:paraId="4D3C8919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vAlign w:val="center"/>
          </w:tcPr>
          <w:p w14:paraId="266452D5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71CA8B8B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انخفاض الاستقطاعات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02584F5B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10E91347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58954DA1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إعداد حملة استقطاعات إلكترونية – الشراكات مع المنشآت الكبيرة</w:t>
            </w:r>
          </w:p>
        </w:tc>
        <w:tc>
          <w:tcPr>
            <w:tcW w:w="1372" w:type="dxa"/>
            <w:vAlign w:val="center"/>
          </w:tcPr>
          <w:p w14:paraId="72D00B3A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التسويق</w:t>
            </w:r>
          </w:p>
        </w:tc>
      </w:tr>
      <w:tr w:rsidR="00765BE1" w14:paraId="57B17D45" w14:textId="77777777">
        <w:trPr>
          <w:trHeight w:val="907"/>
        </w:trPr>
        <w:tc>
          <w:tcPr>
            <w:tcW w:w="343" w:type="dxa"/>
            <w:shd w:val="clear" w:color="auto" w:fill="E7E6E6"/>
            <w:vAlign w:val="center"/>
          </w:tcPr>
          <w:p w14:paraId="1B299107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Merge/>
            <w:vAlign w:val="center"/>
          </w:tcPr>
          <w:p w14:paraId="24AD6CCC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2C338AE1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توجهات الجهات المانحة</w:t>
            </w:r>
          </w:p>
        </w:tc>
        <w:tc>
          <w:tcPr>
            <w:tcW w:w="836" w:type="dxa"/>
            <w:shd w:val="clear" w:color="auto" w:fill="FFC000"/>
            <w:vAlign w:val="center"/>
          </w:tcPr>
          <w:p w14:paraId="50639920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C000"/>
            <w:vAlign w:val="center"/>
          </w:tcPr>
          <w:p w14:paraId="17F65418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6004CCAC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تحليل توجهات الجهات المانحة ومواكبتها بما يتوافق مع  خطة الجمعية الاستراتيجية – إبراز نقاط التوافق بين الجمعية والجهات المانحة</w:t>
            </w:r>
          </w:p>
        </w:tc>
        <w:tc>
          <w:tcPr>
            <w:tcW w:w="1372" w:type="dxa"/>
            <w:vAlign w:val="center"/>
          </w:tcPr>
          <w:p w14:paraId="332CC5EA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التسويق</w:t>
            </w:r>
          </w:p>
        </w:tc>
      </w:tr>
      <w:tr w:rsidR="00765BE1" w14:paraId="797ECE0D" w14:textId="77777777">
        <w:trPr>
          <w:trHeight w:val="685"/>
        </w:trPr>
        <w:tc>
          <w:tcPr>
            <w:tcW w:w="343" w:type="dxa"/>
            <w:shd w:val="clear" w:color="auto" w:fill="E7E6E6"/>
            <w:vAlign w:val="center"/>
          </w:tcPr>
          <w:p w14:paraId="4F1FA30C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vMerge w:val="restart"/>
            <w:vAlign w:val="center"/>
          </w:tcPr>
          <w:p w14:paraId="0BBEDB2E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الأصول الاستثمارية</w:t>
            </w:r>
          </w:p>
        </w:tc>
        <w:tc>
          <w:tcPr>
            <w:tcW w:w="2062" w:type="dxa"/>
            <w:vAlign w:val="center"/>
          </w:tcPr>
          <w:p w14:paraId="33EB22B1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انخفاض الإيجارات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5E9EB5DE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09B3F020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570FB35F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تسويق الأصول للمستهدفين</w:t>
            </w:r>
          </w:p>
        </w:tc>
        <w:tc>
          <w:tcPr>
            <w:tcW w:w="1372" w:type="dxa"/>
            <w:vAlign w:val="center"/>
          </w:tcPr>
          <w:p w14:paraId="106122C0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الأوقاف</w:t>
            </w:r>
          </w:p>
        </w:tc>
      </w:tr>
      <w:tr w:rsidR="00765BE1" w14:paraId="14C82FCA" w14:textId="77777777">
        <w:trPr>
          <w:trHeight w:val="907"/>
        </w:trPr>
        <w:tc>
          <w:tcPr>
            <w:tcW w:w="343" w:type="dxa"/>
            <w:shd w:val="clear" w:color="auto" w:fill="E7E6E6"/>
            <w:vAlign w:val="center"/>
          </w:tcPr>
          <w:p w14:paraId="10B3D2AB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Merge/>
            <w:vAlign w:val="center"/>
          </w:tcPr>
          <w:p w14:paraId="5DA5AD08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37EBED9D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تأخر السداد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7107747A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460C615C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63FFD5C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تخصيص موظف للمتابعة – تفعيل الإجراءات القانونية عند المماطلة</w:t>
            </w:r>
          </w:p>
        </w:tc>
        <w:tc>
          <w:tcPr>
            <w:tcW w:w="1372" w:type="dxa"/>
            <w:vAlign w:val="center"/>
          </w:tcPr>
          <w:p w14:paraId="68B8CE1D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الأوقاف</w:t>
            </w:r>
          </w:p>
        </w:tc>
      </w:tr>
      <w:tr w:rsidR="00765BE1" w14:paraId="5F29329B" w14:textId="77777777">
        <w:trPr>
          <w:trHeight w:val="907"/>
        </w:trPr>
        <w:tc>
          <w:tcPr>
            <w:tcW w:w="343" w:type="dxa"/>
            <w:shd w:val="clear" w:color="auto" w:fill="E7E6E6"/>
            <w:vAlign w:val="center"/>
          </w:tcPr>
          <w:p w14:paraId="5EDE1885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vMerge/>
            <w:vAlign w:val="center"/>
          </w:tcPr>
          <w:p w14:paraId="095F92BE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328D3022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تكاليف الصيانة</w:t>
            </w:r>
          </w:p>
        </w:tc>
        <w:tc>
          <w:tcPr>
            <w:tcW w:w="836" w:type="dxa"/>
            <w:shd w:val="clear" w:color="auto" w:fill="FFC000"/>
            <w:vAlign w:val="center"/>
          </w:tcPr>
          <w:p w14:paraId="6D7C4929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C000"/>
            <w:vAlign w:val="center"/>
          </w:tcPr>
          <w:p w14:paraId="540FAEAB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78ACAADD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توعية المستأجرين – تسويق تكاليف الصيانة على المتبرعين</w:t>
            </w:r>
          </w:p>
        </w:tc>
        <w:tc>
          <w:tcPr>
            <w:tcW w:w="1372" w:type="dxa"/>
            <w:vAlign w:val="center"/>
          </w:tcPr>
          <w:p w14:paraId="1323CAD6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الأوقاف</w:t>
            </w:r>
          </w:p>
        </w:tc>
      </w:tr>
      <w:tr w:rsidR="00765BE1" w14:paraId="61A41FE9" w14:textId="77777777">
        <w:trPr>
          <w:trHeight w:val="564"/>
        </w:trPr>
        <w:tc>
          <w:tcPr>
            <w:tcW w:w="343" w:type="dxa"/>
            <w:shd w:val="clear" w:color="auto" w:fill="E7E6E6"/>
            <w:vAlign w:val="center"/>
          </w:tcPr>
          <w:p w14:paraId="4A874D5C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14:paraId="43AF8F39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الوضع الاقتصادي في الجمعية</w:t>
            </w:r>
          </w:p>
        </w:tc>
        <w:tc>
          <w:tcPr>
            <w:tcW w:w="2062" w:type="dxa"/>
            <w:vAlign w:val="center"/>
          </w:tcPr>
          <w:p w14:paraId="41165E84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دخل الموظف الشهري</w:t>
            </w:r>
          </w:p>
        </w:tc>
        <w:tc>
          <w:tcPr>
            <w:tcW w:w="836" w:type="dxa"/>
            <w:shd w:val="clear" w:color="auto" w:fill="BDD6EE"/>
            <w:vAlign w:val="center"/>
          </w:tcPr>
          <w:p w14:paraId="1234BB82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BDD6EE"/>
            <w:vAlign w:val="center"/>
          </w:tcPr>
          <w:p w14:paraId="0C0A1DA2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7B1F7430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تطوير لائحة الحوافز المالية</w:t>
            </w:r>
          </w:p>
        </w:tc>
        <w:tc>
          <w:tcPr>
            <w:tcW w:w="1372" w:type="dxa"/>
            <w:vAlign w:val="center"/>
          </w:tcPr>
          <w:p w14:paraId="00B95951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الموارد البشرية</w:t>
            </w:r>
          </w:p>
        </w:tc>
      </w:tr>
      <w:tr w:rsidR="00765BE1" w14:paraId="0460A6E7" w14:textId="77777777">
        <w:trPr>
          <w:trHeight w:val="700"/>
        </w:trPr>
        <w:tc>
          <w:tcPr>
            <w:tcW w:w="343" w:type="dxa"/>
            <w:shd w:val="clear" w:color="auto" w:fill="E7E6E6"/>
            <w:vAlign w:val="center"/>
          </w:tcPr>
          <w:p w14:paraId="70692348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vMerge/>
            <w:vAlign w:val="center"/>
          </w:tcPr>
          <w:p w14:paraId="0C7B6D35" w14:textId="77777777" w:rsidR="00765BE1" w:rsidRDefault="00765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14:paraId="76193B07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المصروفات التشغيلية</w:t>
            </w:r>
          </w:p>
        </w:tc>
        <w:tc>
          <w:tcPr>
            <w:tcW w:w="836" w:type="dxa"/>
            <w:shd w:val="clear" w:color="auto" w:fill="FF0000"/>
            <w:vAlign w:val="center"/>
          </w:tcPr>
          <w:p w14:paraId="40FA8543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0000"/>
            <w:vAlign w:val="center"/>
          </w:tcPr>
          <w:p w14:paraId="65D72FC8" w14:textId="77777777" w:rsidR="00765BE1" w:rsidRDefault="00765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14:paraId="0B5100B3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تحميل المصروفات التشغيلية على المبادرات – ترشيد النفقات والاستهلاك</w:t>
            </w:r>
          </w:p>
        </w:tc>
        <w:tc>
          <w:tcPr>
            <w:tcW w:w="1372" w:type="dxa"/>
            <w:vAlign w:val="center"/>
          </w:tcPr>
          <w:p w14:paraId="3D947BDD" w14:textId="77777777" w:rsidR="00765B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إدارة الجودة</w:t>
            </w:r>
          </w:p>
        </w:tc>
      </w:tr>
    </w:tbl>
    <w:p w14:paraId="0AEFA8B0" w14:textId="77777777" w:rsidR="00765BE1" w:rsidRDefault="00765BE1">
      <w:pPr>
        <w:spacing w:after="0"/>
        <w:rPr>
          <w:rFonts w:ascii="Sakkal Majalla" w:eastAsia="Sakkal Majalla" w:hAnsi="Sakkal Majalla" w:cs="Sakkal Majalla"/>
          <w:b/>
          <w:bCs/>
          <w:sz w:val="32"/>
          <w:szCs w:val="32"/>
        </w:rPr>
      </w:pPr>
    </w:p>
    <w:p w14:paraId="241C8E9E" w14:textId="727292F8" w:rsidR="00765BE1" w:rsidRDefault="00000000" w:rsidP="00162568">
      <w:pPr>
        <w:spacing w:after="0"/>
        <w:jc w:val="center"/>
        <w:rPr>
          <w:rFonts w:ascii="Sakkal Majalla" w:eastAsia="Sakkal Majalla" w:hAnsi="Sakkal Majalla" w:cs="Sakkal Majalla"/>
          <w:b/>
          <w:bCs/>
          <w:sz w:val="32"/>
          <w:szCs w:val="32"/>
        </w:rPr>
      </w:pPr>
      <w:r>
        <w:rPr>
          <w:rFonts w:ascii="Sakkal Majalla" w:eastAsia="Sakkal Majalla" w:hAnsi="Sakkal Majalla" w:cs="Sakkal Majalla"/>
          <w:b/>
          <w:bCs/>
          <w:sz w:val="32"/>
          <w:szCs w:val="32"/>
          <w:rtl/>
        </w:rPr>
        <w:t>الاعتماد</w:t>
      </w:r>
      <w:r w:rsidR="00162568">
        <w:rPr>
          <w:rFonts w:ascii="Sakkal Majalla" w:eastAsia="Sakkal Majalla" w:hAnsi="Sakkal Majalla" w:cs="Sakkal Majalla" w:hint="cs"/>
          <w:b/>
          <w:bCs/>
          <w:sz w:val="32"/>
          <w:szCs w:val="32"/>
          <w:rtl/>
        </w:rPr>
        <w:t>.........................ز</w:t>
      </w:r>
    </w:p>
    <w:sectPr w:rsidR="00765BE1">
      <w:headerReference w:type="default" r:id="rId8"/>
      <w:pgSz w:w="11906" w:h="16838"/>
      <w:pgMar w:top="2552" w:right="1134" w:bottom="1701" w:left="1134" w:header="709" w:footer="13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FFA5" w14:textId="77777777" w:rsidR="00F6217D" w:rsidRDefault="00F6217D">
      <w:pPr>
        <w:spacing w:after="0" w:line="240" w:lineRule="auto"/>
      </w:pPr>
      <w:r>
        <w:separator/>
      </w:r>
    </w:p>
  </w:endnote>
  <w:endnote w:type="continuationSeparator" w:id="0">
    <w:p w14:paraId="4700899B" w14:textId="77777777" w:rsidR="00F6217D" w:rsidRDefault="00F6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18B6AD8-19B4-4CCA-920A-5E1CA45172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5064FB0-B830-4EB4-A86E-61B1098A5CEB}"/>
    <w:embedBold r:id="rId3" w:fontKey="{1CE92F8B-FA2C-4435-93E9-C512052780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3F5017BB-7CF1-4CC1-B8BA-14A6EB498C98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5" w:fontKey="{D006ED50-2F73-4D33-BA8B-058D947DCDE1}"/>
    <w:embedBold r:id="rId6" w:fontKey="{CA8A22BA-B013-4E75-9E8F-3C6247F49B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D28997-5C71-4861-8C58-DA6A06B419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C790" w14:textId="77777777" w:rsidR="00F6217D" w:rsidRDefault="00F6217D">
      <w:pPr>
        <w:spacing w:after="0" w:line="240" w:lineRule="auto"/>
      </w:pPr>
      <w:r>
        <w:separator/>
      </w:r>
    </w:p>
  </w:footnote>
  <w:footnote w:type="continuationSeparator" w:id="0">
    <w:p w14:paraId="3E9382B4" w14:textId="77777777" w:rsidR="00F6217D" w:rsidRDefault="00F62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DA79" w14:textId="54CF08B4" w:rsidR="00765BE1" w:rsidRDefault="00765BE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hint="cs"/>
        <w:color w:val="00000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2F1C"/>
    <w:multiLevelType w:val="multilevel"/>
    <w:tmpl w:val="3C18E18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F262E6"/>
    <w:multiLevelType w:val="multilevel"/>
    <w:tmpl w:val="C6CAA884"/>
    <w:lvl w:ilvl="0"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B40A2D"/>
    <w:multiLevelType w:val="multilevel"/>
    <w:tmpl w:val="1CA675D8"/>
    <w:lvl w:ilvl="0">
      <w:start w:val="1"/>
      <w:numFmt w:val="decimal"/>
      <w:lvlText w:val="%1-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B49A0"/>
    <w:multiLevelType w:val="multilevel"/>
    <w:tmpl w:val="74821C7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22445745">
    <w:abstractNumId w:val="0"/>
  </w:num>
  <w:num w:numId="2" w16cid:durableId="1104036971">
    <w:abstractNumId w:val="1"/>
  </w:num>
  <w:num w:numId="3" w16cid:durableId="572348690">
    <w:abstractNumId w:val="3"/>
  </w:num>
  <w:num w:numId="4" w16cid:durableId="200018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BE1"/>
    <w:rsid w:val="00162568"/>
    <w:rsid w:val="00765BE1"/>
    <w:rsid w:val="009A28B8"/>
    <w:rsid w:val="00F6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8175A7"/>
  <w15:docId w15:val="{91AA7997-E086-4532-90EE-3B4C39EB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"/>
    <w:uiPriority w:val="99"/>
    <w:unhideWhenUsed/>
    <w:rsid w:val="001625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9"/>
    <w:uiPriority w:val="99"/>
    <w:rsid w:val="00162568"/>
  </w:style>
  <w:style w:type="paragraph" w:styleId="aa">
    <w:name w:val="footer"/>
    <w:basedOn w:val="a"/>
    <w:link w:val="Char0"/>
    <w:uiPriority w:val="99"/>
    <w:unhideWhenUsed/>
    <w:rsid w:val="001625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a"/>
    <w:uiPriority w:val="99"/>
    <w:rsid w:val="00162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عبدالرحمن الزهراني</cp:lastModifiedBy>
  <cp:revision>2</cp:revision>
  <dcterms:created xsi:type="dcterms:W3CDTF">2026-07-20T20:18:00Z</dcterms:created>
  <dcterms:modified xsi:type="dcterms:W3CDTF">2026-07-20T20:20:00Z</dcterms:modified>
</cp:coreProperties>
</file>