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FBA00" w14:textId="77777777" w:rsidR="002F5963" w:rsidRDefault="00000000">
      <w:pPr>
        <w:bidi/>
        <w:ind w:left="425"/>
        <w:jc w:val="center"/>
        <w:rPr>
          <w:rFonts w:ascii="Sakkal Majalla" w:eastAsia="Sakkal Majalla" w:hAnsi="Sakkal Majalla" w:cs="Sakkal Majalla"/>
          <w:b/>
          <w:bCs/>
          <w:sz w:val="36"/>
          <w:szCs w:val="36"/>
        </w:rPr>
      </w:pPr>
      <w:r>
        <w:rPr>
          <w:rFonts w:ascii="Sakkal Majalla" w:eastAsia="Sakkal Majalla" w:hAnsi="Sakkal Majalla" w:cs="Sakkal Majalla"/>
          <w:b/>
          <w:bCs/>
          <w:sz w:val="36"/>
          <w:szCs w:val="36"/>
          <w:rtl/>
        </w:rPr>
        <w:t xml:space="preserve">آليات تحديد وتقييم وفهم وتوثيق </w:t>
      </w:r>
      <w:proofErr w:type="gramStart"/>
      <w:r>
        <w:rPr>
          <w:rFonts w:ascii="Sakkal Majalla" w:eastAsia="Sakkal Majalla" w:hAnsi="Sakkal Majalla" w:cs="Sakkal Majalla"/>
          <w:b/>
          <w:bCs/>
          <w:sz w:val="36"/>
          <w:szCs w:val="36"/>
          <w:rtl/>
        </w:rPr>
        <w:t>مخاطر</w:t>
      </w:r>
      <w:proofErr w:type="gramEnd"/>
      <w:r>
        <w:rPr>
          <w:rFonts w:ascii="Sakkal Majalla" w:eastAsia="Sakkal Majalla" w:hAnsi="Sakkal Majalla" w:cs="Sakkal Majalla"/>
          <w:b/>
          <w:bCs/>
          <w:sz w:val="36"/>
          <w:szCs w:val="36"/>
          <w:rtl/>
        </w:rPr>
        <w:t xml:space="preserve"> جرائم تمويل الإرهاب</w:t>
      </w:r>
    </w:p>
    <w:p w14:paraId="1CBF5CA2" w14:textId="77777777" w:rsidR="002F5963" w:rsidRDefault="00000000">
      <w:pPr>
        <w:bidi/>
        <w:ind w:left="425"/>
        <w:jc w:val="both"/>
        <w:rPr>
          <w:rFonts w:ascii="Sakkal Majalla" w:eastAsia="Sakkal Majalla" w:hAnsi="Sakkal Majalla" w:cs="Sakkal Majalla"/>
          <w:b/>
          <w:bCs/>
          <w:sz w:val="28"/>
          <w:szCs w:val="28"/>
        </w:rPr>
      </w:pPr>
      <w:proofErr w:type="gramStart"/>
      <w:r>
        <w:rPr>
          <w:rFonts w:ascii="Sakkal Majalla" w:eastAsia="Sakkal Majalla" w:hAnsi="Sakkal Majalla" w:cs="Sakkal Majalla"/>
          <w:b/>
          <w:bCs/>
          <w:sz w:val="28"/>
          <w:szCs w:val="28"/>
          <w:rtl/>
        </w:rPr>
        <w:t>مقدمة :</w:t>
      </w:r>
      <w:proofErr w:type="gramEnd"/>
    </w:p>
    <w:p w14:paraId="74516307" w14:textId="77777777" w:rsidR="002F5963" w:rsidRDefault="00000000">
      <w:pPr>
        <w:bidi/>
        <w:ind w:left="425"/>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تهدف هذه الآلية إلى اختبار فعالية وكفاية السياسات والإجراءات والضوابط المتعلقة بمكافحة تمويل الإرهاب في الجمعية، وضمان التزام الجمعية بالمعايير المحلية والدولية في هذا المجال.   تقوم هذه الآلية على أساس التدقيق من خلال مراجع داخلي في الإدارة التنفيذية.</w:t>
      </w:r>
    </w:p>
    <w:p w14:paraId="7150FBE0" w14:textId="77777777" w:rsidR="002F5963" w:rsidRDefault="00000000">
      <w:pPr>
        <w:bidi/>
        <w:ind w:left="425"/>
        <w:jc w:val="both"/>
        <w:rPr>
          <w:rFonts w:ascii="Sakkal Majalla" w:eastAsia="Sakkal Majalla" w:hAnsi="Sakkal Majalla" w:cs="Sakkal Majalla"/>
          <w:b/>
          <w:bCs/>
          <w:sz w:val="28"/>
          <w:szCs w:val="28"/>
        </w:rPr>
      </w:pPr>
      <w:r>
        <w:rPr>
          <w:rFonts w:ascii="Sakkal Majalla" w:eastAsia="Sakkal Majalla" w:hAnsi="Sakkal Majalla" w:cs="Sakkal Majalla"/>
          <w:b/>
          <w:bCs/>
          <w:sz w:val="28"/>
          <w:szCs w:val="28"/>
          <w:rtl/>
        </w:rPr>
        <w:t xml:space="preserve">أو </w:t>
      </w:r>
      <w:proofErr w:type="gramStart"/>
      <w:r>
        <w:rPr>
          <w:rFonts w:ascii="Sakkal Majalla" w:eastAsia="Sakkal Majalla" w:hAnsi="Sakkal Majalla" w:cs="Sakkal Majalla"/>
          <w:b/>
          <w:bCs/>
          <w:sz w:val="28"/>
          <w:szCs w:val="28"/>
          <w:rtl/>
        </w:rPr>
        <w:t>لا :</w:t>
      </w:r>
      <w:proofErr w:type="gramEnd"/>
      <w:r>
        <w:rPr>
          <w:rFonts w:ascii="Sakkal Majalla" w:eastAsia="Sakkal Majalla" w:hAnsi="Sakkal Majalla" w:cs="Sakkal Majalla"/>
          <w:b/>
          <w:bCs/>
          <w:sz w:val="28"/>
          <w:szCs w:val="28"/>
          <w:rtl/>
        </w:rPr>
        <w:t xml:space="preserve"> نطاق </w:t>
      </w:r>
      <w:proofErr w:type="gramStart"/>
      <w:r>
        <w:rPr>
          <w:rFonts w:ascii="Sakkal Majalla" w:eastAsia="Sakkal Majalla" w:hAnsi="Sakkal Majalla" w:cs="Sakkal Majalla"/>
          <w:b/>
          <w:bCs/>
          <w:sz w:val="28"/>
          <w:szCs w:val="28"/>
          <w:rtl/>
        </w:rPr>
        <w:t>التدقيق :</w:t>
      </w:r>
      <w:proofErr w:type="gramEnd"/>
    </w:p>
    <w:p w14:paraId="4ADBB5CA" w14:textId="77777777" w:rsidR="002F5963" w:rsidRDefault="00000000">
      <w:pPr>
        <w:bidi/>
        <w:ind w:left="425"/>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يشمل نطاق التدقيق جميع السياسات والإجراءات والضوابط المتعلقة بمكافحة تمويل الإرهاب التي تطبقها الجمعية. يتم مراجعة جميع العمليات المالية، والتحقق من الأنظمة الداخلية، وتقييم مدى التزام الجمعية بالمتطلبات القانونية والتنظيمية الصادرة عن الجهات المختصة في المملكة العربية </w:t>
      </w:r>
      <w:proofErr w:type="gramStart"/>
      <w:r>
        <w:rPr>
          <w:rFonts w:ascii="Sakkal Majalla" w:eastAsia="Sakkal Majalla" w:hAnsi="Sakkal Majalla" w:cs="Sakkal Majalla"/>
          <w:sz w:val="28"/>
          <w:szCs w:val="28"/>
          <w:rtl/>
        </w:rPr>
        <w:t>السعودية .</w:t>
      </w:r>
      <w:proofErr w:type="gramEnd"/>
    </w:p>
    <w:p w14:paraId="69D9D222" w14:textId="77777777" w:rsidR="002F5963" w:rsidRDefault="00000000">
      <w:pPr>
        <w:bidi/>
        <w:ind w:left="425"/>
        <w:jc w:val="both"/>
        <w:rPr>
          <w:rFonts w:ascii="Sakkal Majalla" w:eastAsia="Sakkal Majalla" w:hAnsi="Sakkal Majalla" w:cs="Sakkal Majalla"/>
          <w:b/>
          <w:bCs/>
          <w:sz w:val="28"/>
          <w:szCs w:val="28"/>
        </w:rPr>
      </w:pPr>
      <w:proofErr w:type="gramStart"/>
      <w:r>
        <w:rPr>
          <w:rFonts w:ascii="Sakkal Majalla" w:eastAsia="Sakkal Majalla" w:hAnsi="Sakkal Majalla" w:cs="Sakkal Majalla"/>
          <w:b/>
          <w:bCs/>
          <w:sz w:val="28"/>
          <w:szCs w:val="28"/>
          <w:rtl/>
        </w:rPr>
        <w:t>ثانيا :</w:t>
      </w:r>
      <w:proofErr w:type="gramEnd"/>
      <w:r>
        <w:rPr>
          <w:rFonts w:ascii="Sakkal Majalla" w:eastAsia="Sakkal Majalla" w:hAnsi="Sakkal Majalla" w:cs="Sakkal Majalla"/>
          <w:b/>
          <w:bCs/>
          <w:sz w:val="28"/>
          <w:szCs w:val="28"/>
          <w:rtl/>
        </w:rPr>
        <w:t xml:space="preserve"> أهداف </w:t>
      </w:r>
      <w:proofErr w:type="gramStart"/>
      <w:r>
        <w:rPr>
          <w:rFonts w:ascii="Sakkal Majalla" w:eastAsia="Sakkal Majalla" w:hAnsi="Sakkal Majalla" w:cs="Sakkal Majalla"/>
          <w:b/>
          <w:bCs/>
          <w:sz w:val="28"/>
          <w:szCs w:val="28"/>
          <w:rtl/>
        </w:rPr>
        <w:t>التدقيق :</w:t>
      </w:r>
      <w:proofErr w:type="gramEnd"/>
    </w:p>
    <w:p w14:paraId="645F54B1" w14:textId="77777777" w:rsidR="002F5963" w:rsidRDefault="00000000">
      <w:pPr>
        <w:numPr>
          <w:ilvl w:val="0"/>
          <w:numId w:val="1"/>
        </w:numPr>
        <w:pBdr>
          <w:top w:val="nil"/>
          <w:left w:val="nil"/>
          <w:bottom w:val="nil"/>
          <w:right w:val="nil"/>
          <w:between w:val="nil"/>
        </w:pBdr>
        <w:bidi/>
        <w:spacing w:after="0"/>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 التأكد من كفاية السياسات والإجراءات: تقييم مدى شمولية السياسات والإجراءات المتعلقة بمكافحة تمويل الإرهاب، والتأكد من ملاءمتها للمخاطر المحتملة التي قد تواجهها </w:t>
      </w:r>
      <w:proofErr w:type="gramStart"/>
      <w:r>
        <w:rPr>
          <w:rFonts w:ascii="Sakkal Majalla" w:eastAsia="Sakkal Majalla" w:hAnsi="Sakkal Majalla" w:cs="Sakkal Majalla"/>
          <w:color w:val="000000"/>
          <w:sz w:val="28"/>
          <w:szCs w:val="28"/>
          <w:rtl/>
        </w:rPr>
        <w:t>الجمعية .</w:t>
      </w:r>
      <w:proofErr w:type="gramEnd"/>
    </w:p>
    <w:p w14:paraId="3840EB2F" w14:textId="77777777" w:rsidR="002F5963" w:rsidRDefault="00000000">
      <w:pPr>
        <w:numPr>
          <w:ilvl w:val="0"/>
          <w:numId w:val="1"/>
        </w:numPr>
        <w:pBdr>
          <w:top w:val="nil"/>
          <w:left w:val="nil"/>
          <w:bottom w:val="nil"/>
          <w:right w:val="nil"/>
          <w:between w:val="nil"/>
        </w:pBdr>
        <w:bidi/>
        <w:spacing w:after="0"/>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تقييم فعالية الضوابط: التأكد من أن الضوابط المعتمدة لتحديد ومنع التمويل الإرهابي فعالة وتعمل بشكل </w:t>
      </w:r>
      <w:proofErr w:type="gramStart"/>
      <w:r>
        <w:rPr>
          <w:rFonts w:ascii="Sakkal Majalla" w:eastAsia="Sakkal Majalla" w:hAnsi="Sakkal Majalla" w:cs="Sakkal Majalla"/>
          <w:color w:val="000000"/>
          <w:sz w:val="28"/>
          <w:szCs w:val="28"/>
          <w:rtl/>
        </w:rPr>
        <w:t>سليم .</w:t>
      </w:r>
      <w:proofErr w:type="gramEnd"/>
    </w:p>
    <w:p w14:paraId="2D8B3E98" w14:textId="77777777" w:rsidR="002F5963" w:rsidRDefault="00000000">
      <w:pPr>
        <w:numPr>
          <w:ilvl w:val="0"/>
          <w:numId w:val="1"/>
        </w:numPr>
        <w:pBdr>
          <w:top w:val="nil"/>
          <w:left w:val="nil"/>
          <w:bottom w:val="nil"/>
          <w:right w:val="nil"/>
          <w:between w:val="nil"/>
        </w:pBdr>
        <w:bidi/>
        <w:spacing w:after="0"/>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تحليل مدى الامتثال: مراجعة مدى التزام الجمعية بالقوانين واللوائح المعمول بها، مثل نظام مكافحة غسل الأموال وتمويل الإرهاب في المملكة.</w:t>
      </w:r>
    </w:p>
    <w:p w14:paraId="51ED22DC" w14:textId="77777777" w:rsidR="002F5963" w:rsidRDefault="00000000">
      <w:pPr>
        <w:numPr>
          <w:ilvl w:val="0"/>
          <w:numId w:val="1"/>
        </w:numPr>
        <w:pBdr>
          <w:top w:val="nil"/>
          <w:left w:val="nil"/>
          <w:bottom w:val="nil"/>
          <w:right w:val="nil"/>
          <w:between w:val="nil"/>
        </w:pBdr>
        <w:bidi/>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تقديم التوصيات: تقديم توصيات لتحسين السياسات والإجراءات والضوابط في حال الحاجة </w:t>
      </w:r>
      <w:proofErr w:type="gramStart"/>
      <w:r>
        <w:rPr>
          <w:rFonts w:ascii="Sakkal Majalla" w:eastAsia="Sakkal Majalla" w:hAnsi="Sakkal Majalla" w:cs="Sakkal Majalla"/>
          <w:color w:val="000000"/>
          <w:sz w:val="28"/>
          <w:szCs w:val="28"/>
          <w:rtl/>
        </w:rPr>
        <w:t>لذلك .</w:t>
      </w:r>
      <w:proofErr w:type="gramEnd"/>
    </w:p>
    <w:p w14:paraId="115F435E" w14:textId="77777777" w:rsidR="002F5963" w:rsidRDefault="00000000">
      <w:pPr>
        <w:bidi/>
        <w:ind w:left="425"/>
        <w:jc w:val="both"/>
        <w:rPr>
          <w:rFonts w:ascii="Sakkal Majalla" w:eastAsia="Sakkal Majalla" w:hAnsi="Sakkal Majalla" w:cs="Sakkal Majalla"/>
          <w:b/>
          <w:bCs/>
          <w:sz w:val="28"/>
          <w:szCs w:val="28"/>
        </w:rPr>
      </w:pPr>
      <w:proofErr w:type="gramStart"/>
      <w:r>
        <w:rPr>
          <w:rFonts w:ascii="Sakkal Majalla" w:eastAsia="Sakkal Majalla" w:hAnsi="Sakkal Majalla" w:cs="Sakkal Majalla"/>
          <w:b/>
          <w:bCs/>
          <w:sz w:val="28"/>
          <w:szCs w:val="28"/>
          <w:rtl/>
        </w:rPr>
        <w:t>ثالثا :</w:t>
      </w:r>
      <w:proofErr w:type="gramEnd"/>
      <w:r>
        <w:rPr>
          <w:rFonts w:ascii="Sakkal Majalla" w:eastAsia="Sakkal Majalla" w:hAnsi="Sakkal Majalla" w:cs="Sakkal Majalla"/>
          <w:b/>
          <w:bCs/>
          <w:sz w:val="28"/>
          <w:szCs w:val="28"/>
          <w:rtl/>
        </w:rPr>
        <w:t xml:space="preserve"> مراحل </w:t>
      </w:r>
      <w:proofErr w:type="gramStart"/>
      <w:r>
        <w:rPr>
          <w:rFonts w:ascii="Sakkal Majalla" w:eastAsia="Sakkal Majalla" w:hAnsi="Sakkal Majalla" w:cs="Sakkal Majalla"/>
          <w:b/>
          <w:bCs/>
          <w:sz w:val="28"/>
          <w:szCs w:val="28"/>
          <w:rtl/>
        </w:rPr>
        <w:t>التدقيق :</w:t>
      </w:r>
      <w:proofErr w:type="gramEnd"/>
    </w:p>
    <w:p w14:paraId="0EA820C7" w14:textId="77777777" w:rsidR="002F5963" w:rsidRDefault="00000000">
      <w:pPr>
        <w:numPr>
          <w:ilvl w:val="0"/>
          <w:numId w:val="3"/>
        </w:numPr>
        <w:pBdr>
          <w:top w:val="nil"/>
          <w:left w:val="nil"/>
          <w:bottom w:val="nil"/>
          <w:right w:val="nil"/>
          <w:between w:val="nil"/>
        </w:pBdr>
        <w:bidi/>
        <w:spacing w:after="0"/>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التخطيط </w:t>
      </w:r>
      <w:proofErr w:type="gramStart"/>
      <w:r>
        <w:rPr>
          <w:rFonts w:ascii="Sakkal Majalla" w:eastAsia="Sakkal Majalla" w:hAnsi="Sakkal Majalla" w:cs="Sakkal Majalla"/>
          <w:color w:val="000000"/>
          <w:sz w:val="28"/>
          <w:szCs w:val="28"/>
          <w:rtl/>
        </w:rPr>
        <w:t>والتجهيز :</w:t>
      </w:r>
      <w:proofErr w:type="gramEnd"/>
    </w:p>
    <w:p w14:paraId="62FE2B89" w14:textId="77777777" w:rsidR="002F5963" w:rsidRDefault="00000000">
      <w:pPr>
        <w:numPr>
          <w:ilvl w:val="0"/>
          <w:numId w:val="2"/>
        </w:numPr>
        <w:pBdr>
          <w:top w:val="nil"/>
          <w:left w:val="nil"/>
          <w:bottom w:val="nil"/>
          <w:right w:val="nil"/>
          <w:between w:val="nil"/>
        </w:pBdr>
        <w:bidi/>
        <w:spacing w:after="0"/>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اختيار المدقق: يتم اختيار المدقق من الإدارة العليا، عضو مستقل عن الإدارة التنفيذية.</w:t>
      </w:r>
    </w:p>
    <w:p w14:paraId="4BD91E48" w14:textId="77777777" w:rsidR="002F5963" w:rsidRDefault="00000000">
      <w:pPr>
        <w:numPr>
          <w:ilvl w:val="0"/>
          <w:numId w:val="2"/>
        </w:numPr>
        <w:pBdr>
          <w:top w:val="nil"/>
          <w:left w:val="nil"/>
          <w:bottom w:val="nil"/>
          <w:right w:val="nil"/>
          <w:between w:val="nil"/>
        </w:pBdr>
        <w:bidi/>
        <w:spacing w:after="0"/>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تحديد نطاق التدقيق والمدة الزمنية: وضع خطة شاملة للتدقيق تشمل جميع جوانب السياسات والإجراءات، وتحديد المدة الزمنية اللازمة لإجراء </w:t>
      </w:r>
      <w:proofErr w:type="gramStart"/>
      <w:r>
        <w:rPr>
          <w:rFonts w:ascii="Sakkal Majalla" w:eastAsia="Sakkal Majalla" w:hAnsi="Sakkal Majalla" w:cs="Sakkal Majalla"/>
          <w:color w:val="000000"/>
          <w:sz w:val="28"/>
          <w:szCs w:val="28"/>
          <w:rtl/>
        </w:rPr>
        <w:t>التدقيق .</w:t>
      </w:r>
      <w:proofErr w:type="gramEnd"/>
    </w:p>
    <w:p w14:paraId="636B7F21" w14:textId="77777777" w:rsidR="002F5963" w:rsidRDefault="00000000">
      <w:pPr>
        <w:numPr>
          <w:ilvl w:val="0"/>
          <w:numId w:val="3"/>
        </w:numPr>
        <w:pBdr>
          <w:top w:val="nil"/>
          <w:left w:val="nil"/>
          <w:bottom w:val="nil"/>
          <w:right w:val="nil"/>
          <w:between w:val="nil"/>
        </w:pBdr>
        <w:bidi/>
        <w:spacing w:after="0"/>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جمع </w:t>
      </w:r>
      <w:proofErr w:type="gramStart"/>
      <w:r>
        <w:rPr>
          <w:rFonts w:ascii="Sakkal Majalla" w:eastAsia="Sakkal Majalla" w:hAnsi="Sakkal Majalla" w:cs="Sakkal Majalla"/>
          <w:color w:val="000000"/>
          <w:sz w:val="28"/>
          <w:szCs w:val="28"/>
          <w:rtl/>
        </w:rPr>
        <w:t>المعلومات :</w:t>
      </w:r>
      <w:proofErr w:type="gramEnd"/>
    </w:p>
    <w:p w14:paraId="2DF90010" w14:textId="77777777" w:rsidR="002F5963" w:rsidRDefault="00000000">
      <w:pPr>
        <w:numPr>
          <w:ilvl w:val="0"/>
          <w:numId w:val="4"/>
        </w:numPr>
        <w:pBdr>
          <w:top w:val="nil"/>
          <w:left w:val="nil"/>
          <w:bottom w:val="nil"/>
          <w:right w:val="nil"/>
          <w:between w:val="nil"/>
        </w:pBdr>
        <w:bidi/>
        <w:spacing w:after="0"/>
        <w:ind w:left="1134" w:hanging="284"/>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مراجعة السياسات والإجراءات: يتم جمع جميع الوثائق المتعلقة بالسياسات والإجراءات الداخلية لمكافحة تمويل الإرهاب، بما في ذلك سياسات "اعرف عميلك (</w:t>
      </w:r>
      <w:r>
        <w:rPr>
          <w:rFonts w:ascii="Sakkal Majalla" w:eastAsia="Sakkal Majalla" w:hAnsi="Sakkal Majalla" w:cs="Sakkal Majalla"/>
          <w:color w:val="000000"/>
          <w:sz w:val="28"/>
          <w:szCs w:val="28"/>
        </w:rPr>
        <w:t>KYC</w:t>
      </w:r>
      <w:proofErr w:type="gramStart"/>
      <w:r>
        <w:rPr>
          <w:rFonts w:ascii="Sakkal Majalla" w:eastAsia="Sakkal Majalla" w:hAnsi="Sakkal Majalla" w:cs="Sakkal Majalla"/>
          <w:color w:val="000000"/>
          <w:sz w:val="28"/>
          <w:szCs w:val="28"/>
          <w:rtl/>
        </w:rPr>
        <w:t>" )</w:t>
      </w:r>
      <w:proofErr w:type="gramEnd"/>
      <w:r>
        <w:rPr>
          <w:rFonts w:ascii="Sakkal Majalla" w:eastAsia="Sakkal Majalla" w:hAnsi="Sakkal Majalla" w:cs="Sakkal Majalla"/>
          <w:color w:val="000000"/>
          <w:sz w:val="28"/>
          <w:szCs w:val="28"/>
          <w:rtl/>
        </w:rPr>
        <w:t xml:space="preserve"> ، وقواعد الإفصاح المالي، وتقارير المعاملات </w:t>
      </w:r>
      <w:proofErr w:type="gramStart"/>
      <w:r>
        <w:rPr>
          <w:rFonts w:ascii="Sakkal Majalla" w:eastAsia="Sakkal Majalla" w:hAnsi="Sakkal Majalla" w:cs="Sakkal Majalla"/>
          <w:color w:val="000000"/>
          <w:sz w:val="28"/>
          <w:szCs w:val="28"/>
          <w:rtl/>
        </w:rPr>
        <w:t>المشبوهة .</w:t>
      </w:r>
      <w:proofErr w:type="gramEnd"/>
      <w:r>
        <w:rPr>
          <w:rFonts w:ascii="Sakkal Majalla" w:eastAsia="Sakkal Majalla" w:hAnsi="Sakkal Majalla" w:cs="Sakkal Majalla"/>
          <w:color w:val="000000"/>
          <w:sz w:val="28"/>
          <w:szCs w:val="28"/>
          <w:rtl/>
        </w:rPr>
        <w:t>(</w:t>
      </w:r>
      <w:r>
        <w:rPr>
          <w:rFonts w:ascii="Sakkal Majalla" w:eastAsia="Sakkal Majalla" w:hAnsi="Sakkal Majalla" w:cs="Sakkal Majalla"/>
          <w:color w:val="000000"/>
          <w:sz w:val="28"/>
          <w:szCs w:val="28"/>
        </w:rPr>
        <w:t>STRs</w:t>
      </w:r>
      <w:r>
        <w:rPr>
          <w:rFonts w:ascii="Sakkal Majalla" w:eastAsia="Sakkal Majalla" w:hAnsi="Sakkal Majalla" w:cs="Sakkal Majalla"/>
          <w:color w:val="000000"/>
          <w:sz w:val="28"/>
          <w:szCs w:val="28"/>
          <w:rtl/>
        </w:rPr>
        <w:t>)</w:t>
      </w:r>
    </w:p>
    <w:p w14:paraId="44842EF1" w14:textId="77777777" w:rsidR="002F5963" w:rsidRDefault="00000000">
      <w:pPr>
        <w:numPr>
          <w:ilvl w:val="0"/>
          <w:numId w:val="4"/>
        </w:numPr>
        <w:pBdr>
          <w:top w:val="nil"/>
          <w:left w:val="nil"/>
          <w:bottom w:val="nil"/>
          <w:right w:val="nil"/>
          <w:between w:val="nil"/>
        </w:pBdr>
        <w:bidi/>
        <w:spacing w:after="0"/>
        <w:ind w:left="1134" w:hanging="283"/>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المقابلات مع الموظفين: إجراء مقابلات مع الموظفين الرئيسيين في الجمعية لضمان فهمهم وتطبيقهم لإجراءات المتعلقة بمكافحة تمويل </w:t>
      </w:r>
      <w:proofErr w:type="gramStart"/>
      <w:r>
        <w:rPr>
          <w:rFonts w:ascii="Sakkal Majalla" w:eastAsia="Sakkal Majalla" w:hAnsi="Sakkal Majalla" w:cs="Sakkal Majalla"/>
          <w:color w:val="000000"/>
          <w:sz w:val="28"/>
          <w:szCs w:val="28"/>
          <w:rtl/>
        </w:rPr>
        <w:t>الإرهاب .</w:t>
      </w:r>
      <w:proofErr w:type="gramEnd"/>
    </w:p>
    <w:p w14:paraId="1E09B82F" w14:textId="77777777" w:rsidR="002F5963" w:rsidRDefault="002F5963">
      <w:pPr>
        <w:pBdr>
          <w:top w:val="nil"/>
          <w:left w:val="nil"/>
          <w:bottom w:val="nil"/>
          <w:right w:val="nil"/>
          <w:between w:val="nil"/>
        </w:pBdr>
        <w:bidi/>
        <w:spacing w:after="0"/>
        <w:ind w:left="1134"/>
        <w:jc w:val="both"/>
        <w:rPr>
          <w:rFonts w:ascii="Sakkal Majalla" w:eastAsia="Sakkal Majalla" w:hAnsi="Sakkal Majalla" w:cs="Sakkal Majalla"/>
          <w:color w:val="000000"/>
          <w:sz w:val="28"/>
          <w:szCs w:val="28"/>
        </w:rPr>
      </w:pPr>
    </w:p>
    <w:p w14:paraId="75EB9460" w14:textId="77777777" w:rsidR="002F5963" w:rsidRDefault="00000000">
      <w:pPr>
        <w:numPr>
          <w:ilvl w:val="0"/>
          <w:numId w:val="3"/>
        </w:numPr>
        <w:pBdr>
          <w:top w:val="nil"/>
          <w:left w:val="nil"/>
          <w:bottom w:val="nil"/>
          <w:right w:val="nil"/>
          <w:between w:val="nil"/>
        </w:pBdr>
        <w:bidi/>
        <w:spacing w:after="0"/>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lastRenderedPageBreak/>
        <w:t xml:space="preserve">التدقيق </w:t>
      </w:r>
      <w:proofErr w:type="gramStart"/>
      <w:r>
        <w:rPr>
          <w:rFonts w:ascii="Sakkal Majalla" w:eastAsia="Sakkal Majalla" w:hAnsi="Sakkal Majalla" w:cs="Sakkal Majalla"/>
          <w:color w:val="000000"/>
          <w:sz w:val="28"/>
          <w:szCs w:val="28"/>
          <w:rtl/>
        </w:rPr>
        <w:t>الميداني :</w:t>
      </w:r>
      <w:proofErr w:type="gramEnd"/>
    </w:p>
    <w:p w14:paraId="69A814A5" w14:textId="77777777" w:rsidR="002F5963" w:rsidRDefault="00000000">
      <w:pPr>
        <w:numPr>
          <w:ilvl w:val="0"/>
          <w:numId w:val="5"/>
        </w:numPr>
        <w:pBdr>
          <w:top w:val="nil"/>
          <w:left w:val="nil"/>
          <w:bottom w:val="nil"/>
          <w:right w:val="nil"/>
          <w:between w:val="nil"/>
        </w:pBdr>
        <w:bidi/>
        <w:spacing w:after="0"/>
        <w:ind w:left="850" w:hanging="283"/>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تحليل البيانات المالية: مراجعة جميع المعاملات المالية للجمعية بما في ذلك التبرعات، والتحويلات، والمدفوعات للتأكد م ن عدم وجود معاملات </w:t>
      </w:r>
      <w:proofErr w:type="gramStart"/>
      <w:r>
        <w:rPr>
          <w:rFonts w:ascii="Sakkal Majalla" w:eastAsia="Sakkal Majalla" w:hAnsi="Sakkal Majalla" w:cs="Sakkal Majalla"/>
          <w:color w:val="000000"/>
          <w:sz w:val="28"/>
          <w:szCs w:val="28"/>
          <w:rtl/>
        </w:rPr>
        <w:t>مشبوهة .</w:t>
      </w:r>
      <w:proofErr w:type="gramEnd"/>
    </w:p>
    <w:p w14:paraId="702CDBD3" w14:textId="77777777" w:rsidR="002F5963" w:rsidRDefault="00000000">
      <w:pPr>
        <w:numPr>
          <w:ilvl w:val="0"/>
          <w:numId w:val="5"/>
        </w:numPr>
        <w:pBdr>
          <w:top w:val="nil"/>
          <w:left w:val="nil"/>
          <w:bottom w:val="nil"/>
          <w:right w:val="nil"/>
          <w:between w:val="nil"/>
        </w:pBdr>
        <w:bidi/>
        <w:spacing w:after="0"/>
        <w:ind w:left="850" w:hanging="283"/>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اختبار الضوابط الداخلية: اختبار فعالية الأنظمة المالية، وضوابط الكشف عن العمليات غير القانونية، مثل الإجراءات الآلية لتحديد الأطراف المشبوهة</w:t>
      </w:r>
    </w:p>
    <w:p w14:paraId="03FA1E59" w14:textId="77777777" w:rsidR="002F5963" w:rsidRDefault="00000000">
      <w:pPr>
        <w:numPr>
          <w:ilvl w:val="0"/>
          <w:numId w:val="5"/>
        </w:numPr>
        <w:pBdr>
          <w:top w:val="nil"/>
          <w:left w:val="nil"/>
          <w:bottom w:val="nil"/>
          <w:right w:val="nil"/>
          <w:between w:val="nil"/>
        </w:pBdr>
        <w:bidi/>
        <w:spacing w:after="0"/>
        <w:ind w:left="850" w:hanging="283"/>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محاكاة سيناريوهات عملية: تنفيذ اختبارات </w:t>
      </w:r>
      <w:proofErr w:type="gramStart"/>
      <w:r>
        <w:rPr>
          <w:rFonts w:ascii="Sakkal Majalla" w:eastAsia="Sakkal Majalla" w:hAnsi="Sakkal Majalla" w:cs="Sakkal Majalla"/>
          <w:color w:val="000000"/>
          <w:sz w:val="28"/>
          <w:szCs w:val="28"/>
          <w:rtl/>
        </w:rPr>
        <w:t>عملية )اختبار</w:t>
      </w:r>
      <w:proofErr w:type="gramEnd"/>
      <w:r>
        <w:rPr>
          <w:rFonts w:ascii="Sakkal Majalla" w:eastAsia="Sakkal Majalla" w:hAnsi="Sakkal Majalla" w:cs="Sakkal Majalla"/>
          <w:color w:val="000000"/>
          <w:sz w:val="28"/>
          <w:szCs w:val="28"/>
          <w:rtl/>
        </w:rPr>
        <w:t xml:space="preserve"> </w:t>
      </w:r>
      <w:proofErr w:type="gramStart"/>
      <w:r>
        <w:rPr>
          <w:rFonts w:ascii="Sakkal Majalla" w:eastAsia="Sakkal Majalla" w:hAnsi="Sakkal Majalla" w:cs="Sakkal Majalla"/>
          <w:color w:val="000000"/>
          <w:sz w:val="28"/>
          <w:szCs w:val="28"/>
          <w:rtl/>
        </w:rPr>
        <w:t>الضغط( لمحاكاة</w:t>
      </w:r>
      <w:proofErr w:type="gramEnd"/>
      <w:r>
        <w:rPr>
          <w:rFonts w:ascii="Sakkal Majalla" w:eastAsia="Sakkal Majalla" w:hAnsi="Sakkal Majalla" w:cs="Sakkal Majalla"/>
          <w:color w:val="000000"/>
          <w:sz w:val="28"/>
          <w:szCs w:val="28"/>
          <w:rtl/>
        </w:rPr>
        <w:t xml:space="preserve"> سيناريوهات تمويل محتملة للإرهاب، وتقييم استجابة الجمعية </w:t>
      </w:r>
      <w:proofErr w:type="gramStart"/>
      <w:r>
        <w:rPr>
          <w:rFonts w:ascii="Sakkal Majalla" w:eastAsia="Sakkal Majalla" w:hAnsi="Sakkal Majalla" w:cs="Sakkal Majalla"/>
          <w:color w:val="000000"/>
          <w:sz w:val="28"/>
          <w:szCs w:val="28"/>
          <w:rtl/>
        </w:rPr>
        <w:t>لها .</w:t>
      </w:r>
      <w:proofErr w:type="gramEnd"/>
    </w:p>
    <w:p w14:paraId="2D6AF701" w14:textId="77777777" w:rsidR="002F5963" w:rsidRDefault="00000000">
      <w:pPr>
        <w:numPr>
          <w:ilvl w:val="0"/>
          <w:numId w:val="3"/>
        </w:numPr>
        <w:pBdr>
          <w:top w:val="nil"/>
          <w:left w:val="nil"/>
          <w:bottom w:val="nil"/>
          <w:right w:val="nil"/>
          <w:between w:val="nil"/>
        </w:pBdr>
        <w:bidi/>
        <w:spacing w:after="0"/>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التقييم النهائي </w:t>
      </w:r>
      <w:proofErr w:type="gramStart"/>
      <w:r>
        <w:rPr>
          <w:rFonts w:ascii="Sakkal Majalla" w:eastAsia="Sakkal Majalla" w:hAnsi="Sakkal Majalla" w:cs="Sakkal Majalla"/>
          <w:color w:val="000000"/>
          <w:sz w:val="28"/>
          <w:szCs w:val="28"/>
          <w:rtl/>
        </w:rPr>
        <w:t>والتوصيات :</w:t>
      </w:r>
      <w:proofErr w:type="gramEnd"/>
    </w:p>
    <w:p w14:paraId="7B929D74" w14:textId="77777777" w:rsidR="002F5963" w:rsidRDefault="00000000">
      <w:pPr>
        <w:numPr>
          <w:ilvl w:val="0"/>
          <w:numId w:val="6"/>
        </w:numPr>
        <w:pBdr>
          <w:top w:val="nil"/>
          <w:left w:val="nil"/>
          <w:bottom w:val="nil"/>
          <w:right w:val="nil"/>
          <w:between w:val="nil"/>
        </w:pBdr>
        <w:bidi/>
        <w:spacing w:after="0"/>
        <w:ind w:left="992" w:hanging="425"/>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تحليل النتائج: تحليل جميع البيانات والمعلومات المستخلصة من مراحل التدقيق لتقييم مدى فعالية السياسات والإجراءات </w:t>
      </w:r>
    </w:p>
    <w:p w14:paraId="42AF5EE8" w14:textId="77777777" w:rsidR="002F5963" w:rsidRDefault="00000000">
      <w:pPr>
        <w:numPr>
          <w:ilvl w:val="0"/>
          <w:numId w:val="6"/>
        </w:numPr>
        <w:pBdr>
          <w:top w:val="nil"/>
          <w:left w:val="nil"/>
          <w:bottom w:val="nil"/>
          <w:right w:val="nil"/>
          <w:between w:val="nil"/>
        </w:pBdr>
        <w:bidi/>
        <w:spacing w:after="0"/>
        <w:ind w:left="850" w:hanging="283"/>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 تقديم تقرير نهائي: إعداد تقرير نهائي شامل يتضمن نتائج التدقيق، ويوضح مدى فعالية وكفاية السياسات والإجراءات الحالية </w:t>
      </w:r>
    </w:p>
    <w:p w14:paraId="5CD8B62F" w14:textId="77777777" w:rsidR="002F5963" w:rsidRDefault="00000000">
      <w:pPr>
        <w:numPr>
          <w:ilvl w:val="0"/>
          <w:numId w:val="6"/>
        </w:numPr>
        <w:pBdr>
          <w:top w:val="nil"/>
          <w:left w:val="nil"/>
          <w:bottom w:val="nil"/>
          <w:right w:val="nil"/>
          <w:between w:val="nil"/>
        </w:pBdr>
        <w:bidi/>
        <w:ind w:left="850" w:hanging="283"/>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تقديم التوصيات: تقديم توصيات لتحسين الأنظمة الحالية، مثل تشديد الضوابط أو تحديث السياسات أو زيادة التدريب والتوعية للموظفين.</w:t>
      </w:r>
    </w:p>
    <w:p w14:paraId="00D202FE" w14:textId="77777777" w:rsidR="002F5963" w:rsidRDefault="00000000">
      <w:pPr>
        <w:bidi/>
        <w:ind w:left="425"/>
        <w:jc w:val="both"/>
        <w:rPr>
          <w:rFonts w:ascii="Sakkal Majalla" w:eastAsia="Sakkal Majalla" w:hAnsi="Sakkal Majalla" w:cs="Sakkal Majalla"/>
          <w:b/>
          <w:bCs/>
          <w:sz w:val="28"/>
          <w:szCs w:val="28"/>
        </w:rPr>
      </w:pPr>
      <w:r>
        <w:rPr>
          <w:rFonts w:ascii="Sakkal Majalla" w:eastAsia="Sakkal Majalla" w:hAnsi="Sakkal Majalla" w:cs="Sakkal Majalla"/>
          <w:b/>
          <w:bCs/>
          <w:sz w:val="28"/>
          <w:szCs w:val="28"/>
          <w:rtl/>
        </w:rPr>
        <w:t>رابعا: معايير التدقيق</w:t>
      </w:r>
    </w:p>
    <w:p w14:paraId="13C97C8E" w14:textId="77777777" w:rsidR="002F5963" w:rsidRDefault="00000000">
      <w:pPr>
        <w:numPr>
          <w:ilvl w:val="0"/>
          <w:numId w:val="7"/>
        </w:numPr>
        <w:pBdr>
          <w:top w:val="nil"/>
          <w:left w:val="nil"/>
          <w:bottom w:val="nil"/>
          <w:right w:val="nil"/>
          <w:between w:val="nil"/>
        </w:pBdr>
        <w:bidi/>
        <w:spacing w:after="0"/>
        <w:ind w:left="709" w:hanging="284"/>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الامتثال للقوانين المحلية: التأكد من أن الجمعية تلتزم بنظام مكافحة غسل الأموال وتمويل الإرهاب في المملكة العربية السعودية</w:t>
      </w:r>
    </w:p>
    <w:p w14:paraId="33BC027E" w14:textId="77777777" w:rsidR="002F5963" w:rsidRDefault="00000000">
      <w:pPr>
        <w:numPr>
          <w:ilvl w:val="0"/>
          <w:numId w:val="7"/>
        </w:numPr>
        <w:pBdr>
          <w:top w:val="nil"/>
          <w:left w:val="nil"/>
          <w:bottom w:val="nil"/>
          <w:right w:val="nil"/>
          <w:between w:val="nil"/>
        </w:pBdr>
        <w:bidi/>
        <w:spacing w:after="0"/>
        <w:ind w:left="709" w:hanging="284"/>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المعايير الدولية: الالتزام بالمعايير الدولية ذات الصلة، مثل توصيات مجموعة العمل </w:t>
      </w:r>
      <w:proofErr w:type="gramStart"/>
      <w:r>
        <w:rPr>
          <w:rFonts w:ascii="Sakkal Majalla" w:eastAsia="Sakkal Majalla" w:hAnsi="Sakkal Majalla" w:cs="Sakkal Majalla"/>
          <w:color w:val="000000"/>
          <w:sz w:val="28"/>
          <w:szCs w:val="28"/>
          <w:rtl/>
        </w:rPr>
        <w:t>المالي .</w:t>
      </w:r>
      <w:proofErr w:type="gramEnd"/>
      <w:r>
        <w:rPr>
          <w:rFonts w:ascii="Sakkal Majalla" w:eastAsia="Sakkal Majalla" w:hAnsi="Sakkal Majalla" w:cs="Sakkal Majalla"/>
          <w:color w:val="000000"/>
          <w:sz w:val="28"/>
          <w:szCs w:val="28"/>
          <w:rtl/>
        </w:rPr>
        <w:t>(</w:t>
      </w:r>
      <w:proofErr w:type="gramStart"/>
      <w:r>
        <w:rPr>
          <w:rFonts w:ascii="Sakkal Majalla" w:eastAsia="Sakkal Majalla" w:hAnsi="Sakkal Majalla" w:cs="Sakkal Majalla"/>
          <w:color w:val="000000"/>
          <w:sz w:val="28"/>
          <w:szCs w:val="28"/>
        </w:rPr>
        <w:t>FATF</w:t>
      </w:r>
      <w:r>
        <w:rPr>
          <w:rFonts w:ascii="Sakkal Majalla" w:eastAsia="Sakkal Majalla" w:hAnsi="Sakkal Majalla" w:cs="Sakkal Majalla"/>
          <w:color w:val="000000"/>
          <w:sz w:val="28"/>
          <w:szCs w:val="28"/>
          <w:rtl/>
        </w:rPr>
        <w:t>(</w:t>
      </w:r>
      <w:proofErr w:type="gramEnd"/>
    </w:p>
    <w:p w14:paraId="4EB875E0" w14:textId="77777777" w:rsidR="002F5963" w:rsidRDefault="00000000">
      <w:pPr>
        <w:numPr>
          <w:ilvl w:val="0"/>
          <w:numId w:val="7"/>
        </w:numPr>
        <w:pBdr>
          <w:top w:val="nil"/>
          <w:left w:val="nil"/>
          <w:bottom w:val="nil"/>
          <w:right w:val="nil"/>
          <w:between w:val="nil"/>
        </w:pBdr>
        <w:bidi/>
        <w:ind w:left="709" w:hanging="284"/>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أفضل الممارسات: الاستفادة من أفضل الممارسات المتبعة في القطاع الخيري لمكافحة تمويل </w:t>
      </w:r>
      <w:proofErr w:type="gramStart"/>
      <w:r>
        <w:rPr>
          <w:rFonts w:ascii="Sakkal Majalla" w:eastAsia="Sakkal Majalla" w:hAnsi="Sakkal Majalla" w:cs="Sakkal Majalla"/>
          <w:color w:val="000000"/>
          <w:sz w:val="28"/>
          <w:szCs w:val="28"/>
          <w:rtl/>
        </w:rPr>
        <w:t>الإرهاب .</w:t>
      </w:r>
      <w:proofErr w:type="gramEnd"/>
    </w:p>
    <w:p w14:paraId="158EE942" w14:textId="77777777" w:rsidR="002F5963" w:rsidRDefault="00000000">
      <w:pPr>
        <w:bidi/>
        <w:ind w:left="425"/>
        <w:jc w:val="both"/>
        <w:rPr>
          <w:rFonts w:ascii="Sakkal Majalla" w:eastAsia="Sakkal Majalla" w:hAnsi="Sakkal Majalla" w:cs="Sakkal Majalla"/>
          <w:b/>
          <w:bCs/>
          <w:sz w:val="28"/>
          <w:szCs w:val="28"/>
        </w:rPr>
      </w:pPr>
      <w:r>
        <w:rPr>
          <w:rFonts w:ascii="Sakkal Majalla" w:eastAsia="Sakkal Majalla" w:hAnsi="Sakkal Majalla" w:cs="Sakkal Majalla"/>
          <w:b/>
          <w:bCs/>
          <w:sz w:val="28"/>
          <w:szCs w:val="28"/>
          <w:rtl/>
        </w:rPr>
        <w:t>خامسا ا: المتابعة والتنفيذ</w:t>
      </w:r>
    </w:p>
    <w:p w14:paraId="269740BA" w14:textId="77777777" w:rsidR="002F5963" w:rsidRDefault="00000000">
      <w:pPr>
        <w:numPr>
          <w:ilvl w:val="0"/>
          <w:numId w:val="8"/>
        </w:numPr>
        <w:pBdr>
          <w:top w:val="nil"/>
          <w:left w:val="nil"/>
          <w:bottom w:val="nil"/>
          <w:right w:val="nil"/>
          <w:between w:val="nil"/>
        </w:pBdr>
        <w:bidi/>
        <w:spacing w:after="0"/>
        <w:ind w:left="567" w:hanging="142"/>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متابعة التوصيات: بعد تقديم التقرير النهائي، يجب على الجمعية وضع خطة لتنفيذ التوصيات المقدمة من </w:t>
      </w:r>
      <w:proofErr w:type="gramStart"/>
      <w:r>
        <w:rPr>
          <w:rFonts w:ascii="Sakkal Majalla" w:eastAsia="Sakkal Majalla" w:hAnsi="Sakkal Majalla" w:cs="Sakkal Majalla"/>
          <w:color w:val="000000"/>
          <w:sz w:val="28"/>
          <w:szCs w:val="28"/>
          <w:rtl/>
        </w:rPr>
        <w:t>المدقق ،</w:t>
      </w:r>
      <w:proofErr w:type="gramEnd"/>
      <w:r>
        <w:rPr>
          <w:rFonts w:ascii="Sakkal Majalla" w:eastAsia="Sakkal Majalla" w:hAnsi="Sakkal Majalla" w:cs="Sakkal Majalla"/>
          <w:color w:val="000000"/>
          <w:sz w:val="28"/>
          <w:szCs w:val="28"/>
          <w:rtl/>
        </w:rPr>
        <w:t xml:space="preserve"> مع تحديد الجداول الزمنية والمسؤوليات لضمان التنفيذ الفعلي.</w:t>
      </w:r>
    </w:p>
    <w:p w14:paraId="139AD872" w14:textId="77777777" w:rsidR="002F5963" w:rsidRDefault="00000000">
      <w:pPr>
        <w:numPr>
          <w:ilvl w:val="0"/>
          <w:numId w:val="8"/>
        </w:numPr>
        <w:pBdr>
          <w:top w:val="nil"/>
          <w:left w:val="nil"/>
          <w:bottom w:val="nil"/>
          <w:right w:val="nil"/>
          <w:between w:val="nil"/>
        </w:pBdr>
        <w:bidi/>
        <w:ind w:left="709" w:hanging="284"/>
        <w:jc w:val="both"/>
        <w:rPr>
          <w:rFonts w:ascii="Sakkal Majalla" w:eastAsia="Sakkal Majalla" w:hAnsi="Sakkal Majalla" w:cs="Sakkal Majalla"/>
          <w:color w:val="000000"/>
          <w:sz w:val="28"/>
          <w:szCs w:val="28"/>
        </w:rPr>
      </w:pPr>
      <w:r>
        <w:rPr>
          <w:rFonts w:ascii="Sakkal Majalla" w:eastAsia="Sakkal Majalla" w:hAnsi="Sakkal Majalla" w:cs="Sakkal Majalla"/>
          <w:color w:val="000000"/>
          <w:sz w:val="28"/>
          <w:szCs w:val="28"/>
          <w:rtl/>
        </w:rPr>
        <w:t xml:space="preserve">التدقيق الدوري: توصي الجهة المدققة بإجراء تدقيق دوري) سنوي أو نصف سنوي لضمان استمرارية الامتثال وتحسين فعالية </w:t>
      </w:r>
      <w:proofErr w:type="gramStart"/>
      <w:r>
        <w:rPr>
          <w:rFonts w:ascii="Sakkal Majalla" w:eastAsia="Sakkal Majalla" w:hAnsi="Sakkal Majalla" w:cs="Sakkal Majalla"/>
          <w:color w:val="000000"/>
          <w:sz w:val="28"/>
          <w:szCs w:val="28"/>
          <w:rtl/>
        </w:rPr>
        <w:t>الضوابط .</w:t>
      </w:r>
      <w:proofErr w:type="gramEnd"/>
    </w:p>
    <w:p w14:paraId="366E3BB8" w14:textId="77777777" w:rsidR="002F5963" w:rsidRDefault="00000000">
      <w:pPr>
        <w:bidi/>
        <w:ind w:left="425"/>
        <w:jc w:val="both"/>
        <w:rPr>
          <w:rFonts w:ascii="Sakkal Majalla" w:eastAsia="Sakkal Majalla" w:hAnsi="Sakkal Majalla" w:cs="Sakkal Majalla"/>
          <w:b/>
          <w:bCs/>
          <w:sz w:val="28"/>
          <w:szCs w:val="28"/>
        </w:rPr>
      </w:pPr>
      <w:proofErr w:type="gramStart"/>
      <w:r>
        <w:rPr>
          <w:rFonts w:ascii="Sakkal Majalla" w:eastAsia="Sakkal Majalla" w:hAnsi="Sakkal Majalla" w:cs="Sakkal Majalla"/>
          <w:b/>
          <w:bCs/>
          <w:sz w:val="28"/>
          <w:szCs w:val="28"/>
          <w:rtl/>
        </w:rPr>
        <w:t>خاتمة :</w:t>
      </w:r>
      <w:proofErr w:type="gramEnd"/>
    </w:p>
    <w:p w14:paraId="3DF5E56D" w14:textId="77777777" w:rsidR="002F5963" w:rsidRDefault="00000000">
      <w:pPr>
        <w:bidi/>
        <w:ind w:left="425"/>
        <w:jc w:val="both"/>
        <w:rPr>
          <w:rFonts w:ascii="Sakkal Majalla" w:eastAsia="Sakkal Majalla" w:hAnsi="Sakkal Majalla" w:cs="Sakkal Majalla"/>
          <w:b/>
          <w:bCs/>
          <w:sz w:val="28"/>
          <w:szCs w:val="28"/>
        </w:rPr>
      </w:pPr>
      <w:r>
        <w:rPr>
          <w:rFonts w:ascii="Sakkal Majalla" w:eastAsia="Sakkal Majalla" w:hAnsi="Sakkal Majalla" w:cs="Sakkal Majalla"/>
          <w:sz w:val="28"/>
          <w:szCs w:val="28"/>
          <w:rtl/>
        </w:rPr>
        <w:t xml:space="preserve">يهدف هذا التدقيق إلى ضمان أن الجمعية تلتزم بالمعايير المحلية والدولية لمكافحة تمويل الإرهاب، وذلك من خلال اختبار فعالية السياسات والإجراءات الحالية وتقديم توصيات لتعزيزها. وتعتبر هذه العملية جزء الالتزام بالشفافية والمسؤولية لضمان عدم استخدام أموال الجمعية لأغرا غير </w:t>
      </w:r>
      <w:proofErr w:type="gramStart"/>
      <w:r>
        <w:rPr>
          <w:rFonts w:ascii="Sakkal Majalla" w:eastAsia="Sakkal Majalla" w:hAnsi="Sakkal Majalla" w:cs="Sakkal Majalla"/>
          <w:sz w:val="28"/>
          <w:szCs w:val="28"/>
          <w:rtl/>
        </w:rPr>
        <w:t>مشروعة .</w:t>
      </w:r>
      <w:proofErr w:type="gramEnd"/>
    </w:p>
    <w:p w14:paraId="51610210" w14:textId="55FF05F0" w:rsidR="002F5963" w:rsidRPr="00F35E8F" w:rsidRDefault="00000000" w:rsidP="00F35E8F">
      <w:pPr>
        <w:spacing w:after="0"/>
        <w:jc w:val="center"/>
        <w:rPr>
          <w:b/>
          <w:bCs/>
          <w:sz w:val="32"/>
          <w:szCs w:val="32"/>
          <w:lang w:val="en-US"/>
        </w:rPr>
      </w:pPr>
      <w:r>
        <w:rPr>
          <w:b/>
          <w:bCs/>
          <w:sz w:val="32"/>
          <w:szCs w:val="32"/>
          <w:rtl/>
        </w:rPr>
        <w:t>الاعتماد</w:t>
      </w:r>
      <w:r w:rsidR="00F35E8F">
        <w:rPr>
          <w:rFonts w:hint="cs"/>
          <w:b/>
          <w:bCs/>
          <w:sz w:val="32"/>
          <w:szCs w:val="32"/>
          <w:rtl/>
        </w:rPr>
        <w:t xml:space="preserve"> ...................................</w:t>
      </w:r>
    </w:p>
    <w:p w14:paraId="1198F862" w14:textId="77777777" w:rsidR="002F5963" w:rsidRDefault="002F5963">
      <w:pPr>
        <w:bidi/>
        <w:ind w:left="425"/>
        <w:jc w:val="both"/>
        <w:rPr>
          <w:sz w:val="28"/>
          <w:szCs w:val="28"/>
        </w:rPr>
      </w:pPr>
    </w:p>
    <w:sectPr w:rsidR="002F5963">
      <w:headerReference w:type="default" r:id="rId7"/>
      <w:pgSz w:w="11901" w:h="16840"/>
      <w:pgMar w:top="2410" w:right="702" w:bottom="1560" w:left="85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FACE7" w14:textId="77777777" w:rsidR="00324DC1" w:rsidRDefault="00324DC1">
      <w:pPr>
        <w:spacing w:after="0" w:line="240" w:lineRule="auto"/>
      </w:pPr>
      <w:r>
        <w:separator/>
      </w:r>
    </w:p>
  </w:endnote>
  <w:endnote w:type="continuationSeparator" w:id="0">
    <w:p w14:paraId="32D3CBDA" w14:textId="77777777" w:rsidR="00324DC1" w:rsidRDefault="00324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48091E5-711D-4547-89C9-0C785B37BF18}"/>
    <w:embedBold r:id="rId2" w:fontKey="{2345C1A3-DA0E-4168-86AB-4BB4F53C342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4AA7CAA4-BA55-4B03-ABDB-365FBAEE90ED}"/>
  </w:font>
  <w:font w:name="Sakkal Majalla">
    <w:panose1 w:val="02000000000000000000"/>
    <w:charset w:val="00"/>
    <w:family w:val="auto"/>
    <w:pitch w:val="variable"/>
    <w:sig w:usb0="A0002027" w:usb1="80000000" w:usb2="00000108" w:usb3="00000000" w:csb0="000000D3" w:csb1="00000000"/>
    <w:embedRegular r:id="rId4" w:fontKey="{25AD81E6-816E-42AA-8775-E7D6B85C753A}"/>
    <w:embedBold r:id="rId5" w:fontKey="{7FA28EDB-BB98-4374-A43A-75E791EF561B}"/>
  </w:font>
  <w:font w:name="Cambria">
    <w:panose1 w:val="02040503050406030204"/>
    <w:charset w:val="00"/>
    <w:family w:val="roman"/>
    <w:pitch w:val="variable"/>
    <w:sig w:usb0="E00006FF" w:usb1="420024FF" w:usb2="02000000" w:usb3="00000000" w:csb0="0000019F" w:csb1="00000000"/>
    <w:embedRegular r:id="rId6" w:fontKey="{64A36D85-9423-4663-A6D6-D4582EA36DA8}"/>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FC02B" w14:textId="77777777" w:rsidR="00324DC1" w:rsidRDefault="00324DC1">
      <w:pPr>
        <w:spacing w:after="0" w:line="240" w:lineRule="auto"/>
      </w:pPr>
      <w:r>
        <w:separator/>
      </w:r>
    </w:p>
  </w:footnote>
  <w:footnote w:type="continuationSeparator" w:id="0">
    <w:p w14:paraId="3650F7AB" w14:textId="77777777" w:rsidR="00324DC1" w:rsidRDefault="00324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4C4E" w14:textId="18790CF7" w:rsidR="002F5963" w:rsidRDefault="002F5963">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A120C"/>
    <w:multiLevelType w:val="multilevel"/>
    <w:tmpl w:val="37FAF750"/>
    <w:lvl w:ilvl="0">
      <w:start w:val="1"/>
      <w:numFmt w:val="decimal"/>
      <w:lvlText w:val="%1-"/>
      <w:lvlJc w:val="left"/>
      <w:pPr>
        <w:ind w:left="425" w:hanging="360"/>
      </w:pPr>
    </w:lvl>
    <w:lvl w:ilvl="1">
      <w:start w:val="1"/>
      <w:numFmt w:val="lowerLetter"/>
      <w:lvlText w:val="%2."/>
      <w:lvlJc w:val="left"/>
      <w:pPr>
        <w:ind w:left="1145" w:hanging="360"/>
      </w:pPr>
    </w:lvl>
    <w:lvl w:ilvl="2">
      <w:start w:val="1"/>
      <w:numFmt w:val="lowerRoman"/>
      <w:lvlText w:val="%3."/>
      <w:lvlJc w:val="right"/>
      <w:pPr>
        <w:ind w:left="1865" w:hanging="180"/>
      </w:pPr>
    </w:lvl>
    <w:lvl w:ilvl="3">
      <w:start w:val="1"/>
      <w:numFmt w:val="decimal"/>
      <w:lvlText w:val="%4."/>
      <w:lvlJc w:val="left"/>
      <w:pPr>
        <w:ind w:left="2585" w:hanging="360"/>
      </w:pPr>
    </w:lvl>
    <w:lvl w:ilvl="4">
      <w:start w:val="1"/>
      <w:numFmt w:val="lowerLetter"/>
      <w:lvlText w:val="%5."/>
      <w:lvlJc w:val="left"/>
      <w:pPr>
        <w:ind w:left="3305" w:hanging="360"/>
      </w:pPr>
    </w:lvl>
    <w:lvl w:ilvl="5">
      <w:start w:val="1"/>
      <w:numFmt w:val="lowerRoman"/>
      <w:lvlText w:val="%6."/>
      <w:lvlJc w:val="right"/>
      <w:pPr>
        <w:ind w:left="4025" w:hanging="180"/>
      </w:pPr>
    </w:lvl>
    <w:lvl w:ilvl="6">
      <w:start w:val="1"/>
      <w:numFmt w:val="decimal"/>
      <w:lvlText w:val="%7."/>
      <w:lvlJc w:val="left"/>
      <w:pPr>
        <w:ind w:left="4745" w:hanging="360"/>
      </w:pPr>
    </w:lvl>
    <w:lvl w:ilvl="7">
      <w:start w:val="1"/>
      <w:numFmt w:val="lowerLetter"/>
      <w:lvlText w:val="%8."/>
      <w:lvlJc w:val="left"/>
      <w:pPr>
        <w:ind w:left="5465" w:hanging="360"/>
      </w:pPr>
    </w:lvl>
    <w:lvl w:ilvl="8">
      <w:start w:val="1"/>
      <w:numFmt w:val="lowerRoman"/>
      <w:lvlText w:val="%9."/>
      <w:lvlJc w:val="right"/>
      <w:pPr>
        <w:ind w:left="6185" w:hanging="180"/>
      </w:pPr>
    </w:lvl>
  </w:abstractNum>
  <w:abstractNum w:abstractNumId="1" w15:restartNumberingAfterBreak="0">
    <w:nsid w:val="088C169E"/>
    <w:multiLevelType w:val="multilevel"/>
    <w:tmpl w:val="AE2EB5FA"/>
    <w:lvl w:ilvl="0">
      <w:start w:val="1"/>
      <w:numFmt w:val="decimal"/>
      <w:lvlText w:val="%1-"/>
      <w:lvlJc w:val="left"/>
      <w:pPr>
        <w:ind w:left="425" w:hanging="360"/>
      </w:pPr>
    </w:lvl>
    <w:lvl w:ilvl="1">
      <w:start w:val="1"/>
      <w:numFmt w:val="lowerLetter"/>
      <w:lvlText w:val="%2."/>
      <w:lvlJc w:val="left"/>
      <w:pPr>
        <w:ind w:left="1145" w:hanging="360"/>
      </w:pPr>
    </w:lvl>
    <w:lvl w:ilvl="2">
      <w:start w:val="1"/>
      <w:numFmt w:val="lowerRoman"/>
      <w:lvlText w:val="%3."/>
      <w:lvlJc w:val="right"/>
      <w:pPr>
        <w:ind w:left="1865" w:hanging="180"/>
      </w:pPr>
    </w:lvl>
    <w:lvl w:ilvl="3">
      <w:start w:val="1"/>
      <w:numFmt w:val="decimal"/>
      <w:lvlText w:val="%4."/>
      <w:lvlJc w:val="left"/>
      <w:pPr>
        <w:ind w:left="2585" w:hanging="360"/>
      </w:pPr>
    </w:lvl>
    <w:lvl w:ilvl="4">
      <w:start w:val="1"/>
      <w:numFmt w:val="lowerLetter"/>
      <w:lvlText w:val="%5."/>
      <w:lvlJc w:val="left"/>
      <w:pPr>
        <w:ind w:left="3305" w:hanging="360"/>
      </w:pPr>
    </w:lvl>
    <w:lvl w:ilvl="5">
      <w:start w:val="1"/>
      <w:numFmt w:val="lowerRoman"/>
      <w:lvlText w:val="%6."/>
      <w:lvlJc w:val="right"/>
      <w:pPr>
        <w:ind w:left="4025" w:hanging="180"/>
      </w:pPr>
    </w:lvl>
    <w:lvl w:ilvl="6">
      <w:start w:val="1"/>
      <w:numFmt w:val="decimal"/>
      <w:lvlText w:val="%7."/>
      <w:lvlJc w:val="left"/>
      <w:pPr>
        <w:ind w:left="4745" w:hanging="360"/>
      </w:pPr>
    </w:lvl>
    <w:lvl w:ilvl="7">
      <w:start w:val="1"/>
      <w:numFmt w:val="lowerLetter"/>
      <w:lvlText w:val="%8."/>
      <w:lvlJc w:val="left"/>
      <w:pPr>
        <w:ind w:left="5465" w:hanging="360"/>
      </w:pPr>
    </w:lvl>
    <w:lvl w:ilvl="8">
      <w:start w:val="1"/>
      <w:numFmt w:val="lowerRoman"/>
      <w:lvlText w:val="%9."/>
      <w:lvlJc w:val="right"/>
      <w:pPr>
        <w:ind w:left="6185" w:hanging="180"/>
      </w:pPr>
    </w:lvl>
  </w:abstractNum>
  <w:abstractNum w:abstractNumId="2" w15:restartNumberingAfterBreak="0">
    <w:nsid w:val="2C211FCC"/>
    <w:multiLevelType w:val="multilevel"/>
    <w:tmpl w:val="0936BC78"/>
    <w:lvl w:ilvl="0">
      <w:start w:val="1"/>
      <w:numFmt w:val="decimal"/>
      <w:lvlText w:val="%1-"/>
      <w:lvlJc w:val="left"/>
      <w:pPr>
        <w:ind w:left="425" w:hanging="360"/>
      </w:pPr>
    </w:lvl>
    <w:lvl w:ilvl="1">
      <w:start w:val="1"/>
      <w:numFmt w:val="lowerLetter"/>
      <w:lvlText w:val="%2."/>
      <w:lvlJc w:val="left"/>
      <w:pPr>
        <w:ind w:left="1145" w:hanging="360"/>
      </w:pPr>
    </w:lvl>
    <w:lvl w:ilvl="2">
      <w:start w:val="1"/>
      <w:numFmt w:val="lowerRoman"/>
      <w:lvlText w:val="%3."/>
      <w:lvlJc w:val="right"/>
      <w:pPr>
        <w:ind w:left="1865" w:hanging="180"/>
      </w:pPr>
    </w:lvl>
    <w:lvl w:ilvl="3">
      <w:start w:val="1"/>
      <w:numFmt w:val="decimal"/>
      <w:lvlText w:val="%4."/>
      <w:lvlJc w:val="left"/>
      <w:pPr>
        <w:ind w:left="2585" w:hanging="360"/>
      </w:pPr>
    </w:lvl>
    <w:lvl w:ilvl="4">
      <w:start w:val="1"/>
      <w:numFmt w:val="lowerLetter"/>
      <w:lvlText w:val="%5."/>
      <w:lvlJc w:val="left"/>
      <w:pPr>
        <w:ind w:left="3305" w:hanging="360"/>
      </w:pPr>
    </w:lvl>
    <w:lvl w:ilvl="5">
      <w:start w:val="1"/>
      <w:numFmt w:val="lowerRoman"/>
      <w:lvlText w:val="%6."/>
      <w:lvlJc w:val="right"/>
      <w:pPr>
        <w:ind w:left="4025" w:hanging="180"/>
      </w:pPr>
    </w:lvl>
    <w:lvl w:ilvl="6">
      <w:start w:val="1"/>
      <w:numFmt w:val="decimal"/>
      <w:lvlText w:val="%7."/>
      <w:lvlJc w:val="left"/>
      <w:pPr>
        <w:ind w:left="4745" w:hanging="360"/>
      </w:pPr>
    </w:lvl>
    <w:lvl w:ilvl="7">
      <w:start w:val="1"/>
      <w:numFmt w:val="lowerLetter"/>
      <w:lvlText w:val="%8."/>
      <w:lvlJc w:val="left"/>
      <w:pPr>
        <w:ind w:left="5465" w:hanging="360"/>
      </w:pPr>
    </w:lvl>
    <w:lvl w:ilvl="8">
      <w:start w:val="1"/>
      <w:numFmt w:val="lowerRoman"/>
      <w:lvlText w:val="%9."/>
      <w:lvlJc w:val="right"/>
      <w:pPr>
        <w:ind w:left="6185" w:hanging="180"/>
      </w:pPr>
    </w:lvl>
  </w:abstractNum>
  <w:abstractNum w:abstractNumId="3" w15:restartNumberingAfterBreak="0">
    <w:nsid w:val="3D3E404D"/>
    <w:multiLevelType w:val="multilevel"/>
    <w:tmpl w:val="3AA06B44"/>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4" w15:restartNumberingAfterBreak="0">
    <w:nsid w:val="3FAD06BA"/>
    <w:multiLevelType w:val="multilevel"/>
    <w:tmpl w:val="6550430C"/>
    <w:lvl w:ilvl="0">
      <w:start w:val="1"/>
      <w:numFmt w:val="decimal"/>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5" w15:restartNumberingAfterBreak="0">
    <w:nsid w:val="57AD535D"/>
    <w:multiLevelType w:val="multilevel"/>
    <w:tmpl w:val="B3462F62"/>
    <w:lvl w:ilvl="0">
      <w:start w:val="1"/>
      <w:numFmt w:val="decimal"/>
      <w:lvlText w:val="%1-"/>
      <w:lvlJc w:val="left"/>
      <w:pPr>
        <w:ind w:left="1145" w:hanging="360"/>
      </w:p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6" w15:restartNumberingAfterBreak="0">
    <w:nsid w:val="5AB10BD4"/>
    <w:multiLevelType w:val="multilevel"/>
    <w:tmpl w:val="DCD2E5BC"/>
    <w:lvl w:ilvl="0">
      <w:start w:val="1"/>
      <w:numFmt w:val="decimal"/>
      <w:lvlText w:val="%1-"/>
      <w:lvlJc w:val="left"/>
      <w:pPr>
        <w:ind w:left="425" w:hanging="360"/>
      </w:pPr>
    </w:lvl>
    <w:lvl w:ilvl="1">
      <w:start w:val="1"/>
      <w:numFmt w:val="lowerLetter"/>
      <w:lvlText w:val="%2."/>
      <w:lvlJc w:val="left"/>
      <w:pPr>
        <w:ind w:left="1145" w:hanging="360"/>
      </w:pPr>
    </w:lvl>
    <w:lvl w:ilvl="2">
      <w:start w:val="1"/>
      <w:numFmt w:val="lowerRoman"/>
      <w:lvlText w:val="%3."/>
      <w:lvlJc w:val="right"/>
      <w:pPr>
        <w:ind w:left="1865" w:hanging="180"/>
      </w:pPr>
    </w:lvl>
    <w:lvl w:ilvl="3">
      <w:start w:val="1"/>
      <w:numFmt w:val="decimal"/>
      <w:lvlText w:val="%4."/>
      <w:lvlJc w:val="left"/>
      <w:pPr>
        <w:ind w:left="2585" w:hanging="360"/>
      </w:pPr>
    </w:lvl>
    <w:lvl w:ilvl="4">
      <w:start w:val="1"/>
      <w:numFmt w:val="lowerLetter"/>
      <w:lvlText w:val="%5."/>
      <w:lvlJc w:val="left"/>
      <w:pPr>
        <w:ind w:left="3305" w:hanging="360"/>
      </w:pPr>
    </w:lvl>
    <w:lvl w:ilvl="5">
      <w:start w:val="1"/>
      <w:numFmt w:val="lowerRoman"/>
      <w:lvlText w:val="%6."/>
      <w:lvlJc w:val="right"/>
      <w:pPr>
        <w:ind w:left="4025" w:hanging="180"/>
      </w:pPr>
    </w:lvl>
    <w:lvl w:ilvl="6">
      <w:start w:val="1"/>
      <w:numFmt w:val="decimal"/>
      <w:lvlText w:val="%7."/>
      <w:lvlJc w:val="left"/>
      <w:pPr>
        <w:ind w:left="4745" w:hanging="360"/>
      </w:pPr>
    </w:lvl>
    <w:lvl w:ilvl="7">
      <w:start w:val="1"/>
      <w:numFmt w:val="lowerLetter"/>
      <w:lvlText w:val="%8."/>
      <w:lvlJc w:val="left"/>
      <w:pPr>
        <w:ind w:left="5465" w:hanging="360"/>
      </w:pPr>
    </w:lvl>
    <w:lvl w:ilvl="8">
      <w:start w:val="1"/>
      <w:numFmt w:val="lowerRoman"/>
      <w:lvlText w:val="%9."/>
      <w:lvlJc w:val="right"/>
      <w:pPr>
        <w:ind w:left="6185" w:hanging="180"/>
      </w:pPr>
    </w:lvl>
  </w:abstractNum>
  <w:abstractNum w:abstractNumId="7" w15:restartNumberingAfterBreak="0">
    <w:nsid w:val="6DEE18AA"/>
    <w:multiLevelType w:val="multilevel"/>
    <w:tmpl w:val="CE2AB0A8"/>
    <w:lvl w:ilvl="0">
      <w:start w:val="1"/>
      <w:numFmt w:val="decimal"/>
      <w:lvlText w:val="%1-"/>
      <w:lvlJc w:val="left"/>
      <w:pPr>
        <w:ind w:left="1736" w:hanging="360"/>
      </w:pPr>
    </w:lvl>
    <w:lvl w:ilvl="1">
      <w:start w:val="1"/>
      <w:numFmt w:val="lowerLetter"/>
      <w:lvlText w:val="%2."/>
      <w:lvlJc w:val="left"/>
      <w:pPr>
        <w:ind w:left="2456" w:hanging="360"/>
      </w:pPr>
    </w:lvl>
    <w:lvl w:ilvl="2">
      <w:start w:val="1"/>
      <w:numFmt w:val="lowerRoman"/>
      <w:lvlText w:val="%3."/>
      <w:lvlJc w:val="right"/>
      <w:pPr>
        <w:ind w:left="3176" w:hanging="180"/>
      </w:pPr>
    </w:lvl>
    <w:lvl w:ilvl="3">
      <w:start w:val="1"/>
      <w:numFmt w:val="decimal"/>
      <w:lvlText w:val="%4."/>
      <w:lvlJc w:val="left"/>
      <w:pPr>
        <w:ind w:left="3896" w:hanging="360"/>
      </w:pPr>
    </w:lvl>
    <w:lvl w:ilvl="4">
      <w:start w:val="1"/>
      <w:numFmt w:val="lowerLetter"/>
      <w:lvlText w:val="%5."/>
      <w:lvlJc w:val="left"/>
      <w:pPr>
        <w:ind w:left="4616" w:hanging="360"/>
      </w:pPr>
    </w:lvl>
    <w:lvl w:ilvl="5">
      <w:start w:val="1"/>
      <w:numFmt w:val="lowerRoman"/>
      <w:lvlText w:val="%6."/>
      <w:lvlJc w:val="right"/>
      <w:pPr>
        <w:ind w:left="5336" w:hanging="180"/>
      </w:pPr>
    </w:lvl>
    <w:lvl w:ilvl="6">
      <w:start w:val="1"/>
      <w:numFmt w:val="decimal"/>
      <w:lvlText w:val="%7."/>
      <w:lvlJc w:val="left"/>
      <w:pPr>
        <w:ind w:left="6056" w:hanging="360"/>
      </w:pPr>
    </w:lvl>
    <w:lvl w:ilvl="7">
      <w:start w:val="1"/>
      <w:numFmt w:val="lowerLetter"/>
      <w:lvlText w:val="%8."/>
      <w:lvlJc w:val="left"/>
      <w:pPr>
        <w:ind w:left="6776" w:hanging="360"/>
      </w:pPr>
    </w:lvl>
    <w:lvl w:ilvl="8">
      <w:start w:val="1"/>
      <w:numFmt w:val="lowerRoman"/>
      <w:lvlText w:val="%9."/>
      <w:lvlJc w:val="right"/>
      <w:pPr>
        <w:ind w:left="7496" w:hanging="180"/>
      </w:pPr>
    </w:lvl>
  </w:abstractNum>
  <w:num w:numId="1" w16cid:durableId="2144500788">
    <w:abstractNumId w:val="4"/>
  </w:num>
  <w:num w:numId="2" w16cid:durableId="987630851">
    <w:abstractNumId w:val="5"/>
  </w:num>
  <w:num w:numId="3" w16cid:durableId="632520295">
    <w:abstractNumId w:val="3"/>
  </w:num>
  <w:num w:numId="4" w16cid:durableId="1791439288">
    <w:abstractNumId w:val="7"/>
  </w:num>
  <w:num w:numId="5" w16cid:durableId="691688830">
    <w:abstractNumId w:val="2"/>
  </w:num>
  <w:num w:numId="6" w16cid:durableId="821046699">
    <w:abstractNumId w:val="0"/>
  </w:num>
  <w:num w:numId="7" w16cid:durableId="1211527927">
    <w:abstractNumId w:val="6"/>
  </w:num>
  <w:num w:numId="8" w16cid:durableId="1080443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963"/>
    <w:rsid w:val="002F5963"/>
    <w:rsid w:val="00324DC1"/>
    <w:rsid w:val="003E7FAD"/>
    <w:rsid w:val="00F35E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D4AA9"/>
  <w15:docId w15:val="{6227AB85-43C5-4291-A1B6-515810A0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widowControl w:val="0"/>
      <w:spacing w:after="0" w:line="250" w:lineRule="auto"/>
      <w:ind w:right="17"/>
      <w:jc w:val="right"/>
      <w:outlineLvl w:val="0"/>
    </w:pPr>
    <w:rPr>
      <w:rFonts w:ascii="Times New Roman" w:eastAsia="Times New Roman" w:hAnsi="Times New Roman" w:cs="Times New Roman"/>
      <w:b/>
      <w:bCs/>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widowControl w:val="0"/>
      <w:spacing w:before="24" w:after="0" w:line="240" w:lineRule="auto"/>
      <w:ind w:right="2458"/>
      <w:jc w:val="right"/>
    </w:pPr>
    <w:rPr>
      <w:rFonts w:ascii="Times New Roman" w:eastAsia="Times New Roman" w:hAnsi="Times New Roman" w:cs="Times New Roman"/>
      <w:b/>
      <w:bCs/>
      <w:sz w:val="28"/>
      <w:szCs w:val="28"/>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header"/>
    <w:basedOn w:val="a"/>
    <w:link w:val="Char"/>
    <w:uiPriority w:val="99"/>
    <w:unhideWhenUsed/>
    <w:rsid w:val="00F35E8F"/>
    <w:pPr>
      <w:tabs>
        <w:tab w:val="center" w:pos="4153"/>
        <w:tab w:val="right" w:pos="8306"/>
      </w:tabs>
      <w:spacing w:after="0" w:line="240" w:lineRule="auto"/>
    </w:pPr>
  </w:style>
  <w:style w:type="character" w:customStyle="1" w:styleId="Char">
    <w:name w:val="رأس الصفحة Char"/>
    <w:basedOn w:val="a0"/>
    <w:link w:val="a5"/>
    <w:uiPriority w:val="99"/>
    <w:rsid w:val="00F35E8F"/>
  </w:style>
  <w:style w:type="paragraph" w:styleId="a6">
    <w:name w:val="footer"/>
    <w:basedOn w:val="a"/>
    <w:link w:val="Char0"/>
    <w:uiPriority w:val="99"/>
    <w:unhideWhenUsed/>
    <w:rsid w:val="00F35E8F"/>
    <w:pPr>
      <w:tabs>
        <w:tab w:val="center" w:pos="4153"/>
        <w:tab w:val="right" w:pos="8306"/>
      </w:tabs>
      <w:spacing w:after="0" w:line="240" w:lineRule="auto"/>
    </w:pPr>
  </w:style>
  <w:style w:type="character" w:customStyle="1" w:styleId="Char0">
    <w:name w:val="تذييل الصفحة Char"/>
    <w:basedOn w:val="a0"/>
    <w:link w:val="a6"/>
    <w:uiPriority w:val="99"/>
    <w:rsid w:val="00F35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3068</Characters>
  <Application>Microsoft Office Word</Application>
  <DocSecurity>0</DocSecurity>
  <Lines>53</Lines>
  <Paragraphs>35</Paragraphs>
  <ScaleCrop>false</ScaleCrop>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عبدالرحمن الزهراني</cp:lastModifiedBy>
  <cp:revision>2</cp:revision>
  <dcterms:created xsi:type="dcterms:W3CDTF">2026-07-20T21:28:00Z</dcterms:created>
  <dcterms:modified xsi:type="dcterms:W3CDTF">2026-07-20T21:28:00Z</dcterms:modified>
</cp:coreProperties>
</file>